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宋体" w:hAnsi="宋体" w:eastAsia="宋体" w:cs="宋体"/>
          <w:b/>
          <w:bCs/>
          <w:sz w:val="44"/>
          <w:szCs w:val="44"/>
        </w:rPr>
      </w:pPr>
      <w:r>
        <w:rPr>
          <w:rFonts w:hint="eastAsia" w:ascii="宋体" w:hAnsi="宋体" w:eastAsia="宋体" w:cs="宋体"/>
          <w:b/>
          <w:bCs/>
          <w:sz w:val="44"/>
          <w:szCs w:val="44"/>
        </w:rPr>
        <w:t>关于组织开展2019年贵州省工程系列职称申报</w:t>
      </w:r>
    </w:p>
    <w:p>
      <w:pPr>
        <w:jc w:val="center"/>
        <w:rPr>
          <w:rFonts w:hint="eastAsia" w:ascii="宋体" w:hAnsi="宋体" w:eastAsia="宋体" w:cs="宋体"/>
          <w:b/>
          <w:bCs/>
          <w:sz w:val="44"/>
          <w:szCs w:val="44"/>
        </w:rPr>
      </w:pPr>
      <w:r>
        <w:rPr>
          <w:rFonts w:hint="eastAsia" w:ascii="宋体" w:hAnsi="宋体" w:eastAsia="宋体" w:cs="宋体"/>
          <w:b/>
          <w:bCs/>
          <w:sz w:val="44"/>
          <w:szCs w:val="44"/>
        </w:rPr>
        <w:t>评审工作的通知</w:t>
      </w:r>
    </w:p>
    <w:p>
      <w:pPr>
        <w:rPr>
          <w:rFonts w:hint="eastAsia" w:ascii="宋体" w:hAnsi="宋体" w:eastAsia="宋体" w:cs="宋体"/>
          <w:sz w:val="28"/>
          <w:szCs w:val="28"/>
        </w:rPr>
      </w:pPr>
    </w:p>
    <w:p>
      <w:pPr>
        <w:rPr>
          <w:rFonts w:hint="eastAsia" w:ascii="宋体" w:hAnsi="宋体" w:eastAsia="宋体" w:cs="宋体"/>
          <w:sz w:val="28"/>
          <w:szCs w:val="28"/>
        </w:rPr>
      </w:pPr>
      <w:r>
        <w:rPr>
          <w:rFonts w:hint="eastAsia" w:ascii="宋体" w:hAnsi="宋体" w:eastAsia="宋体" w:cs="宋体"/>
          <w:sz w:val="28"/>
          <w:szCs w:val="28"/>
        </w:rPr>
        <w:t>各市（州）人力资源和社会保障局，贵安新区党工委政治部，各有关单位：</w:t>
      </w:r>
    </w:p>
    <w:p>
      <w:pPr>
        <w:ind w:firstLine="840" w:firstLineChars="300"/>
        <w:rPr>
          <w:rFonts w:hint="eastAsia" w:ascii="宋体" w:hAnsi="宋体" w:eastAsia="宋体" w:cs="宋体"/>
          <w:sz w:val="28"/>
          <w:szCs w:val="28"/>
        </w:rPr>
      </w:pPr>
      <w:r>
        <w:rPr>
          <w:rFonts w:hint="eastAsia" w:ascii="宋体" w:hAnsi="宋体" w:eastAsia="宋体" w:cs="宋体"/>
          <w:sz w:val="28"/>
          <w:szCs w:val="28"/>
        </w:rPr>
        <w:t>为贯彻落实《关于深化工程技术人才职称制度改革的指导意见》（人社部发〔2019〕16号）、《在工程技术领域实现高技能人才与工程技术人才职业发展贯通的意见》（人社部发〔2018〕74号），根据《贵州省人力资源和社会保障厅关于做好2019年职称工作有关问题的通知》（黔人社通〔2019〕124号）的精神，现就2019年全省工程系列职称申报评审工作有关事项通知如下：</w:t>
      </w:r>
    </w:p>
    <w:p>
      <w:pPr>
        <w:ind w:firstLine="560" w:firstLineChars="200"/>
        <w:rPr>
          <w:rFonts w:hint="eastAsia" w:ascii="宋体" w:hAnsi="宋体" w:eastAsia="宋体" w:cs="宋体"/>
          <w:sz w:val="28"/>
          <w:szCs w:val="28"/>
        </w:rPr>
      </w:pPr>
      <w:r>
        <w:rPr>
          <w:rFonts w:hint="eastAsia" w:ascii="宋体" w:hAnsi="宋体" w:eastAsia="宋体" w:cs="宋体"/>
          <w:sz w:val="28"/>
          <w:szCs w:val="28"/>
        </w:rPr>
        <w:t>一、有关政策调整</w:t>
      </w:r>
    </w:p>
    <w:p>
      <w:pPr>
        <w:ind w:firstLine="560" w:firstLineChars="200"/>
        <w:rPr>
          <w:rFonts w:hint="eastAsia" w:ascii="宋体" w:hAnsi="宋体" w:eastAsia="宋体" w:cs="宋体"/>
          <w:sz w:val="28"/>
          <w:szCs w:val="28"/>
        </w:rPr>
      </w:pPr>
      <w:r>
        <w:rPr>
          <w:rFonts w:hint="eastAsia" w:ascii="宋体" w:hAnsi="宋体" w:eastAsia="宋体" w:cs="宋体"/>
          <w:sz w:val="28"/>
          <w:szCs w:val="28"/>
        </w:rPr>
        <w:t>（一）从2019年起，我省工程系列正高级职称名称由“工程技术应用研究员”调整为“正高级工程师”，其他级别职称名称不变。</w:t>
      </w:r>
    </w:p>
    <w:p>
      <w:pPr>
        <w:ind w:firstLine="560" w:firstLineChars="200"/>
        <w:rPr>
          <w:rFonts w:hint="eastAsia" w:ascii="宋体" w:hAnsi="宋体" w:eastAsia="宋体" w:cs="宋体"/>
          <w:sz w:val="28"/>
          <w:szCs w:val="28"/>
        </w:rPr>
      </w:pPr>
      <w:r>
        <w:rPr>
          <w:rFonts w:hint="eastAsia" w:ascii="宋体" w:hAnsi="宋体" w:eastAsia="宋体" w:cs="宋体"/>
          <w:sz w:val="28"/>
          <w:szCs w:val="28"/>
        </w:rPr>
        <w:t>（二）工程技术人员取得工程领域不分级别或一级执业资格的，可直接申报工程系列相应专业副高级职称，取得二级执业资格的，可直接申报相应专业中级职称。以执业资格申报职称的，其业绩成果和学术成果应为获执业资格后取得。</w:t>
      </w:r>
    </w:p>
    <w:p>
      <w:pPr>
        <w:ind w:firstLine="560" w:firstLineChars="200"/>
        <w:rPr>
          <w:rFonts w:hint="eastAsia" w:ascii="宋体" w:hAnsi="宋体" w:eastAsia="宋体" w:cs="宋体"/>
          <w:sz w:val="28"/>
          <w:szCs w:val="28"/>
        </w:rPr>
      </w:pPr>
      <w:r>
        <w:rPr>
          <w:rFonts w:hint="eastAsia" w:ascii="宋体" w:hAnsi="宋体" w:eastAsia="宋体" w:cs="宋体"/>
          <w:sz w:val="28"/>
          <w:szCs w:val="28"/>
        </w:rPr>
        <w:t>（三）在工程技术领域生产一线岗位，从事技术技能工作的高技能人才，具有高级工以上职业资格或职业技能等级，符合工程系列职称评价条件，在现工作岗位上近3年年度考核合格，可以申报工程系列职称。评审中不得随意降低评价标准条件，不得擅自扩大评价范围。</w:t>
      </w:r>
    </w:p>
    <w:p>
      <w:pPr>
        <w:ind w:firstLine="560" w:firstLineChars="200"/>
        <w:rPr>
          <w:rFonts w:hint="eastAsia" w:ascii="宋体" w:hAnsi="宋体" w:eastAsia="宋体" w:cs="宋体"/>
          <w:sz w:val="28"/>
          <w:szCs w:val="28"/>
        </w:rPr>
      </w:pPr>
      <w:r>
        <w:rPr>
          <w:rFonts w:hint="eastAsia" w:ascii="宋体" w:hAnsi="宋体" w:eastAsia="宋体" w:cs="宋体"/>
          <w:sz w:val="28"/>
          <w:szCs w:val="28"/>
        </w:rPr>
        <w:t>1.技工院校中级工班、高级工班、预备技师（技师）班毕业，可分别按相当于中专、大专、本科学历申报相应专业职称。</w:t>
      </w:r>
    </w:p>
    <w:p>
      <w:pPr>
        <w:ind w:firstLine="560" w:firstLineChars="200"/>
        <w:rPr>
          <w:rFonts w:hint="eastAsia" w:ascii="宋体" w:hAnsi="宋体" w:eastAsia="宋体" w:cs="宋体"/>
          <w:sz w:val="28"/>
          <w:szCs w:val="28"/>
        </w:rPr>
      </w:pPr>
      <w:r>
        <w:rPr>
          <w:rFonts w:hint="eastAsia" w:ascii="宋体" w:hAnsi="宋体" w:eastAsia="宋体" w:cs="宋体"/>
          <w:sz w:val="28"/>
          <w:szCs w:val="28"/>
        </w:rPr>
        <w:t>2.获得高级工职业资格或职业技能等级后从事技术技能工作满2年，可申报评审相应专业助理工程师；获得技师职业资格或职业技能等级后从事技术技能工作满3年，可申报评审相应专业工程师；获得高级技师职业资格或职业技能等级后从事技术技能工作满4年，可申报评审相应专业高级工程师。</w:t>
      </w:r>
    </w:p>
    <w:p>
      <w:pPr>
        <w:ind w:firstLine="560" w:firstLineChars="200"/>
        <w:rPr>
          <w:rFonts w:hint="eastAsia" w:ascii="宋体" w:hAnsi="宋体" w:eastAsia="宋体" w:cs="宋体"/>
          <w:sz w:val="28"/>
          <w:szCs w:val="28"/>
        </w:rPr>
      </w:pPr>
      <w:r>
        <w:rPr>
          <w:rFonts w:hint="eastAsia" w:ascii="宋体" w:hAnsi="宋体" w:eastAsia="宋体" w:cs="宋体"/>
          <w:sz w:val="28"/>
          <w:szCs w:val="28"/>
        </w:rPr>
        <w:t>二、申报评审有关要求</w:t>
      </w:r>
    </w:p>
    <w:p>
      <w:pPr>
        <w:ind w:firstLine="560" w:firstLineChars="200"/>
        <w:rPr>
          <w:rFonts w:hint="eastAsia" w:ascii="宋体" w:hAnsi="宋体" w:eastAsia="宋体" w:cs="宋体"/>
          <w:sz w:val="28"/>
          <w:szCs w:val="28"/>
        </w:rPr>
      </w:pPr>
      <w:r>
        <w:rPr>
          <w:rFonts w:hint="eastAsia" w:ascii="宋体" w:hAnsi="宋体" w:eastAsia="宋体" w:cs="宋体"/>
          <w:sz w:val="28"/>
          <w:szCs w:val="28"/>
        </w:rPr>
        <w:t>（一）申报评审安排</w:t>
      </w:r>
    </w:p>
    <w:p>
      <w:pPr>
        <w:ind w:firstLine="560" w:firstLineChars="200"/>
        <w:rPr>
          <w:rFonts w:hint="eastAsia" w:ascii="宋体" w:hAnsi="宋体" w:eastAsia="宋体" w:cs="宋体"/>
          <w:sz w:val="28"/>
          <w:szCs w:val="28"/>
        </w:rPr>
      </w:pPr>
      <w:r>
        <w:rPr>
          <w:rFonts w:hint="eastAsia" w:ascii="宋体" w:hAnsi="宋体" w:eastAsia="宋体" w:cs="宋体"/>
          <w:sz w:val="28"/>
          <w:szCs w:val="28"/>
        </w:rPr>
        <w:t>1.省人力资源社会保障厅负责的全省正高级职称及省直单位其他专业（附件2之外专业）副高级职称申报材料报送时间为2019年9月23日至29日（工作日），报送地点为贵州省人才大市场8楼（贵阳市毓秀路18号），逾期不再受理。申报有关事项详见附件1。</w:t>
      </w:r>
    </w:p>
    <w:p>
      <w:pPr>
        <w:ind w:firstLine="560" w:firstLineChars="200"/>
        <w:rPr>
          <w:rFonts w:hint="eastAsia" w:ascii="宋体" w:hAnsi="宋体" w:eastAsia="宋体" w:cs="宋体"/>
          <w:sz w:val="28"/>
          <w:szCs w:val="28"/>
        </w:rPr>
      </w:pPr>
      <w:r>
        <w:rPr>
          <w:rFonts w:hint="eastAsia" w:ascii="宋体" w:hAnsi="宋体" w:eastAsia="宋体" w:cs="宋体"/>
          <w:sz w:val="28"/>
          <w:szCs w:val="28"/>
        </w:rPr>
        <w:t>2.省级有关行业主管部门（名单详见附件2）应于9月20日前组织完成授权范围内的申报工作，具体申报评审工作安排由各部门另行通知。</w:t>
      </w:r>
    </w:p>
    <w:p>
      <w:pPr>
        <w:ind w:firstLine="560" w:firstLineChars="200"/>
        <w:rPr>
          <w:rFonts w:hint="eastAsia" w:ascii="宋体" w:hAnsi="宋体" w:eastAsia="宋体" w:cs="宋体"/>
          <w:sz w:val="28"/>
          <w:szCs w:val="28"/>
        </w:rPr>
      </w:pPr>
      <w:r>
        <w:rPr>
          <w:rFonts w:hint="eastAsia" w:ascii="宋体" w:hAnsi="宋体" w:eastAsia="宋体" w:cs="宋体"/>
          <w:sz w:val="28"/>
          <w:szCs w:val="28"/>
        </w:rPr>
        <w:t>3.各市(州)人力资源社会保障局、贵安新区党工委政治部、自主评审单位、贵州省人才大市场及有关行业协会在授权范围内自行安排申报评审工作。</w:t>
      </w:r>
    </w:p>
    <w:p>
      <w:pPr>
        <w:rPr>
          <w:rFonts w:hint="eastAsia" w:ascii="宋体" w:hAnsi="宋体" w:eastAsia="宋体" w:cs="宋体"/>
          <w:sz w:val="28"/>
          <w:szCs w:val="28"/>
        </w:rPr>
      </w:pPr>
      <w:r>
        <w:rPr>
          <w:rFonts w:hint="eastAsia" w:ascii="宋体" w:hAnsi="宋体" w:eastAsia="宋体" w:cs="宋体"/>
          <w:sz w:val="28"/>
          <w:szCs w:val="28"/>
        </w:rPr>
        <w:t>各地不具备开评条件的专业，可委托相应省级评审组织评审。</w:t>
      </w:r>
    </w:p>
    <w:p>
      <w:pPr>
        <w:ind w:firstLine="560" w:firstLineChars="200"/>
        <w:rPr>
          <w:rFonts w:hint="eastAsia" w:ascii="宋体" w:hAnsi="宋体" w:eastAsia="宋体" w:cs="宋体"/>
          <w:sz w:val="28"/>
          <w:szCs w:val="28"/>
        </w:rPr>
      </w:pPr>
      <w:r>
        <w:rPr>
          <w:rFonts w:hint="eastAsia" w:ascii="宋体" w:hAnsi="宋体" w:eastAsia="宋体" w:cs="宋体"/>
          <w:sz w:val="28"/>
          <w:szCs w:val="28"/>
        </w:rPr>
        <w:t>参加社会化评审的民营企业工程技术人员，按属地管理原则和专业分类向相关评委会申报。民营经济组织职称专项评审工作另行安排。</w:t>
      </w:r>
    </w:p>
    <w:p>
      <w:pPr>
        <w:ind w:firstLine="560" w:firstLineChars="200"/>
        <w:rPr>
          <w:rFonts w:hint="eastAsia" w:ascii="宋体" w:hAnsi="宋体" w:eastAsia="宋体" w:cs="宋体"/>
          <w:sz w:val="28"/>
          <w:szCs w:val="28"/>
        </w:rPr>
      </w:pPr>
      <w:r>
        <w:rPr>
          <w:rFonts w:hint="eastAsia" w:ascii="宋体" w:hAnsi="宋体" w:eastAsia="宋体" w:cs="宋体"/>
          <w:sz w:val="28"/>
          <w:szCs w:val="28"/>
        </w:rPr>
        <w:t>评审工作须于12月31日前完成，不得跨年评审。</w:t>
      </w:r>
    </w:p>
    <w:p>
      <w:pPr>
        <w:ind w:firstLine="560" w:firstLineChars="200"/>
        <w:rPr>
          <w:rFonts w:hint="eastAsia" w:ascii="宋体" w:hAnsi="宋体" w:eastAsia="宋体" w:cs="宋体"/>
          <w:sz w:val="28"/>
          <w:szCs w:val="28"/>
        </w:rPr>
      </w:pPr>
      <w:r>
        <w:rPr>
          <w:rFonts w:hint="eastAsia" w:ascii="宋体" w:hAnsi="宋体" w:eastAsia="宋体" w:cs="宋体"/>
          <w:sz w:val="28"/>
          <w:szCs w:val="28"/>
        </w:rPr>
        <w:t>（二）申报评审条件</w:t>
      </w:r>
    </w:p>
    <w:p>
      <w:pPr>
        <w:ind w:firstLine="560" w:firstLineChars="200"/>
        <w:rPr>
          <w:rFonts w:hint="eastAsia" w:ascii="宋体" w:hAnsi="宋体" w:eastAsia="宋体" w:cs="宋体"/>
          <w:sz w:val="28"/>
          <w:szCs w:val="28"/>
        </w:rPr>
      </w:pPr>
      <w:r>
        <w:rPr>
          <w:rFonts w:hint="eastAsia" w:ascii="宋体" w:hAnsi="宋体" w:eastAsia="宋体" w:cs="宋体"/>
          <w:sz w:val="28"/>
          <w:szCs w:val="28"/>
        </w:rPr>
        <w:t>1.工程系列职称申报评审总体执行《关于印发&lt;贵州省工程系列专业技术职务任职资格申报评审条件（试行）&gt;的通知》(黔人社厅通〔2014〕753号)文件。我省已出台评审条件的交通运输、林业、质量技术、大数据等专业应使用已出台的分类评价条件开展评审。</w:t>
      </w:r>
    </w:p>
    <w:p>
      <w:pPr>
        <w:ind w:firstLine="560" w:firstLineChars="200"/>
        <w:rPr>
          <w:rFonts w:hint="eastAsia" w:ascii="宋体" w:hAnsi="宋体" w:eastAsia="宋体" w:cs="宋体"/>
          <w:sz w:val="28"/>
          <w:szCs w:val="28"/>
        </w:rPr>
      </w:pPr>
      <w:r>
        <w:rPr>
          <w:rFonts w:hint="eastAsia" w:ascii="宋体" w:hAnsi="宋体" w:eastAsia="宋体" w:cs="宋体"/>
          <w:sz w:val="28"/>
          <w:szCs w:val="28"/>
        </w:rPr>
        <w:t>2.副高级基层评审认定资格条件：申报2019年工程系列专业技术高级职务副高级基层评审认定人员，申报评审要求按照《关于规范基层事业单位副高级专业技术职务任职资格评审认定工作有关问题的通知》（黔人社厅通〔2015〕153 号）和工程系列相关专业申报评审条件等有关规定执行。</w:t>
      </w:r>
    </w:p>
    <w:p>
      <w:pPr>
        <w:ind w:firstLine="560" w:firstLineChars="200"/>
        <w:rPr>
          <w:rFonts w:hint="eastAsia" w:ascii="宋体" w:hAnsi="宋体" w:eastAsia="宋体" w:cs="宋体"/>
          <w:sz w:val="28"/>
          <w:szCs w:val="28"/>
        </w:rPr>
      </w:pPr>
      <w:r>
        <w:rPr>
          <w:rFonts w:hint="eastAsia" w:ascii="宋体" w:hAnsi="宋体" w:eastAsia="宋体" w:cs="宋体"/>
          <w:sz w:val="28"/>
          <w:szCs w:val="28"/>
        </w:rPr>
        <w:t>（三）推荐审核</w:t>
      </w:r>
    </w:p>
    <w:p>
      <w:pPr>
        <w:ind w:firstLine="560" w:firstLineChars="200"/>
        <w:rPr>
          <w:rFonts w:hint="eastAsia" w:ascii="宋体" w:hAnsi="宋体" w:eastAsia="宋体" w:cs="宋体"/>
          <w:sz w:val="28"/>
          <w:szCs w:val="28"/>
        </w:rPr>
      </w:pPr>
      <w:r>
        <w:rPr>
          <w:rFonts w:hint="eastAsia" w:ascii="宋体" w:hAnsi="宋体" w:eastAsia="宋体" w:cs="宋体"/>
          <w:sz w:val="28"/>
          <w:szCs w:val="28"/>
        </w:rPr>
        <w:t>推荐采取自下而上、审核上报的方式进行，严格执行单位公示，申报人、推荐单位承诺制度，未按要求公示和签署承诺书的申报人和单位，其申报材料不予受理。</w:t>
      </w:r>
    </w:p>
    <w:p>
      <w:pPr>
        <w:ind w:firstLine="560" w:firstLineChars="200"/>
        <w:rPr>
          <w:rFonts w:hint="eastAsia" w:ascii="宋体" w:hAnsi="宋体" w:eastAsia="宋体" w:cs="宋体"/>
          <w:sz w:val="28"/>
          <w:szCs w:val="28"/>
        </w:rPr>
      </w:pPr>
      <w:r>
        <w:rPr>
          <w:rFonts w:hint="eastAsia" w:ascii="宋体" w:hAnsi="宋体" w:eastAsia="宋体" w:cs="宋体"/>
          <w:sz w:val="28"/>
          <w:szCs w:val="28"/>
        </w:rPr>
        <w:t>1.个人申报。申报人员须认真、如实、完整填写《专业技术职务任职资格评审表》和《贵州省申报评审工程系列专业技术职务任职资格审查表》中各项内容，提交真实、准确的申报资料，并签署《个人申报专业技术职务任职资格诚信承诺书》。</w:t>
      </w:r>
    </w:p>
    <w:p>
      <w:pPr>
        <w:ind w:firstLine="560" w:firstLineChars="200"/>
        <w:rPr>
          <w:rFonts w:hint="eastAsia" w:ascii="宋体" w:hAnsi="宋体" w:eastAsia="宋体" w:cs="宋体"/>
          <w:sz w:val="28"/>
          <w:szCs w:val="28"/>
        </w:rPr>
      </w:pPr>
      <w:r>
        <w:rPr>
          <w:rFonts w:hint="eastAsia" w:ascii="宋体" w:hAnsi="宋体" w:eastAsia="宋体" w:cs="宋体"/>
          <w:sz w:val="28"/>
          <w:szCs w:val="28"/>
        </w:rPr>
        <w:t>2.单位推荐和主管部门审核。所在单位结合岗位设置和人才队伍建设情况，对申报人员材料的真实性和准确性予以审核。重点核实以下情况：一是学历、专业、任职年限、年度考核和继续教育是否符合相关规定；二是业绩成果和科研成果是否真实有效；三是相关资格证书和获奖证书是否真实有效；四是论文和著作是否符合相关规定；五是申报人的申报类别：正常晋升、转评、破格或者首评；六是其他需要提交的材料是否真实有效；七是对于全省各级各类事业单位，还须核实推荐送评人员数量是否符合空岗推荐的要求。</w:t>
      </w:r>
    </w:p>
    <w:p>
      <w:pPr>
        <w:ind w:firstLine="560" w:firstLineChars="200"/>
        <w:rPr>
          <w:rFonts w:hint="eastAsia" w:ascii="宋体" w:hAnsi="宋体" w:eastAsia="宋体" w:cs="宋体"/>
          <w:sz w:val="28"/>
          <w:szCs w:val="28"/>
        </w:rPr>
      </w:pPr>
      <w:r>
        <w:rPr>
          <w:rFonts w:hint="eastAsia" w:ascii="宋体" w:hAnsi="宋体" w:eastAsia="宋体" w:cs="宋体"/>
          <w:sz w:val="28"/>
          <w:szCs w:val="28"/>
        </w:rPr>
        <w:t>3.对符合申报条件并同意推荐送评的，须填写《2019年度XX单位专业技术职务任职资格申报人员公示表》，并以适当方式公示7日（公示情况一并报送），公示无异议的，用人单位对申报人员材料审核后签字、盖章并签署《单位报送专业技术职务任职资格诚信承诺书》，报主管部门审核后推荐报送，不符合条件的不得推荐上报。</w:t>
      </w:r>
    </w:p>
    <w:p>
      <w:pPr>
        <w:ind w:firstLine="560" w:firstLineChars="200"/>
        <w:rPr>
          <w:rFonts w:hint="eastAsia" w:ascii="宋体" w:hAnsi="宋体" w:eastAsia="宋体" w:cs="宋体"/>
          <w:sz w:val="28"/>
          <w:szCs w:val="28"/>
        </w:rPr>
      </w:pPr>
      <w:r>
        <w:rPr>
          <w:rFonts w:hint="eastAsia" w:ascii="宋体" w:hAnsi="宋体" w:eastAsia="宋体" w:cs="宋体"/>
          <w:sz w:val="28"/>
          <w:szCs w:val="28"/>
        </w:rPr>
        <w:t>4.在“三公开”公示过程中，如有群众举报反映申报人员的申报材料弄虚作假，经调查核实的，从认定之日起所在单位3年内不得推荐申报；政策性审查通过的取消参评资格；评审通过的取消任职资格，并根据职称政策和“责任追究制”追究申报人员及审核、推荐单位有关人员责任。</w:t>
      </w:r>
    </w:p>
    <w:p>
      <w:pPr>
        <w:ind w:firstLine="560" w:firstLineChars="200"/>
        <w:rPr>
          <w:rFonts w:hint="eastAsia" w:ascii="宋体" w:hAnsi="宋体" w:eastAsia="宋体" w:cs="宋体"/>
          <w:sz w:val="28"/>
          <w:szCs w:val="28"/>
        </w:rPr>
      </w:pPr>
      <w:r>
        <w:rPr>
          <w:rFonts w:hint="eastAsia" w:ascii="宋体" w:hAnsi="宋体" w:eastAsia="宋体" w:cs="宋体"/>
          <w:sz w:val="28"/>
          <w:szCs w:val="28"/>
        </w:rPr>
        <w:t>（四）2019年申报人员的任职年限（聘任时间）终算时间为2019年12月31日。12月31日前达到退休年龄，未经各级人力资源社会保障局部门批准延聘的专业技术人员，不能参加社会化评审。</w:t>
      </w:r>
    </w:p>
    <w:p>
      <w:pPr>
        <w:ind w:firstLine="560" w:firstLineChars="200"/>
        <w:rPr>
          <w:rFonts w:hint="eastAsia" w:ascii="宋体" w:hAnsi="宋体" w:eastAsia="宋体" w:cs="宋体"/>
          <w:sz w:val="28"/>
          <w:szCs w:val="28"/>
        </w:rPr>
      </w:pPr>
      <w:r>
        <w:rPr>
          <w:rFonts w:hint="eastAsia" w:ascii="宋体" w:hAnsi="宋体" w:eastAsia="宋体" w:cs="宋体"/>
          <w:sz w:val="28"/>
          <w:szCs w:val="28"/>
        </w:rPr>
        <w:t>（五）其他本通知未提及的有关职称政策，按有关文件规定执行。</w:t>
      </w:r>
    </w:p>
    <w:p>
      <w:pPr>
        <w:rPr>
          <w:rFonts w:hint="eastAsia" w:ascii="宋体" w:hAnsi="宋体" w:eastAsia="宋体" w:cs="宋体"/>
          <w:sz w:val="28"/>
          <w:szCs w:val="28"/>
        </w:rPr>
      </w:pPr>
    </w:p>
    <w:p>
      <w:pPr>
        <w:ind w:firstLine="560" w:firstLineChars="200"/>
        <w:rPr>
          <w:rFonts w:hint="eastAsia" w:ascii="宋体" w:hAnsi="宋体" w:eastAsia="宋体" w:cs="宋体"/>
          <w:sz w:val="28"/>
          <w:szCs w:val="28"/>
        </w:rPr>
      </w:pPr>
      <w:r>
        <w:rPr>
          <w:rFonts w:hint="eastAsia" w:ascii="宋体" w:hAnsi="宋体" w:eastAsia="宋体" w:cs="宋体"/>
          <w:sz w:val="28"/>
          <w:szCs w:val="28"/>
        </w:rPr>
        <w:t>附件：1.省人力资源社会保障厅负责的正高级职称及部分专业副高级职称申报有关事项</w:t>
      </w:r>
    </w:p>
    <w:p>
      <w:pPr>
        <w:ind w:firstLine="560" w:firstLineChars="200"/>
        <w:rPr>
          <w:rFonts w:hint="eastAsia" w:ascii="宋体" w:hAnsi="宋体" w:eastAsia="宋体" w:cs="宋体"/>
          <w:sz w:val="28"/>
          <w:szCs w:val="28"/>
        </w:rPr>
      </w:pPr>
      <w:r>
        <w:rPr>
          <w:rFonts w:hint="eastAsia" w:ascii="宋体" w:hAnsi="宋体" w:eastAsia="宋体" w:cs="宋体"/>
          <w:sz w:val="28"/>
          <w:szCs w:val="28"/>
        </w:rPr>
        <w:t>2.贵州省工程系列省级行业部门负责专业列表</w:t>
      </w:r>
    </w:p>
    <w:p>
      <w:pPr>
        <w:ind w:firstLine="560" w:firstLineChars="200"/>
        <w:rPr>
          <w:rFonts w:hint="eastAsia" w:ascii="宋体" w:hAnsi="宋体" w:eastAsia="宋体" w:cs="宋体"/>
          <w:sz w:val="28"/>
          <w:szCs w:val="28"/>
        </w:rPr>
      </w:pPr>
      <w:r>
        <w:rPr>
          <w:rFonts w:hint="eastAsia" w:ascii="宋体" w:hAnsi="宋体" w:eastAsia="宋体" w:cs="宋体"/>
          <w:sz w:val="28"/>
          <w:szCs w:val="28"/>
        </w:rPr>
        <w:t>3.申报材料清单及装订有关要求</w:t>
      </w:r>
    </w:p>
    <w:p>
      <w:pPr>
        <w:ind w:firstLine="560" w:firstLineChars="200"/>
        <w:rPr>
          <w:rFonts w:hint="eastAsia" w:ascii="宋体" w:hAnsi="宋体" w:eastAsia="宋体" w:cs="宋体"/>
          <w:sz w:val="28"/>
          <w:szCs w:val="28"/>
        </w:rPr>
      </w:pPr>
      <w:r>
        <w:rPr>
          <w:rFonts w:hint="eastAsia" w:ascii="宋体" w:hAnsi="宋体" w:eastAsia="宋体" w:cs="宋体"/>
          <w:sz w:val="28"/>
          <w:szCs w:val="28"/>
        </w:rPr>
        <w:t>4.</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HYPERLINK "http://rst.guizhou.gov.cn/zwgk/xxgkml/gggs/201907/W020190718393182515090.zip" \o "相关表格.zip" </w:instrText>
      </w:r>
      <w:r>
        <w:rPr>
          <w:rFonts w:hint="eastAsia" w:ascii="宋体" w:hAnsi="宋体" w:eastAsia="宋体" w:cs="宋体"/>
          <w:sz w:val="28"/>
          <w:szCs w:val="28"/>
        </w:rPr>
        <w:fldChar w:fldCharType="separate"/>
      </w:r>
      <w:r>
        <w:rPr>
          <w:rFonts w:hint="eastAsia" w:ascii="宋体" w:hAnsi="宋体" w:eastAsia="宋体" w:cs="宋体"/>
          <w:sz w:val="28"/>
          <w:szCs w:val="28"/>
        </w:rPr>
        <w:t>相关表格.zip</w:t>
      </w:r>
      <w:r>
        <w:rPr>
          <w:rFonts w:hint="eastAsia" w:ascii="宋体" w:hAnsi="宋体" w:eastAsia="宋体" w:cs="宋体"/>
          <w:sz w:val="28"/>
          <w:szCs w:val="28"/>
        </w:rPr>
        <w:fldChar w:fldCharType="end"/>
      </w:r>
    </w:p>
    <w:p>
      <w:pPr>
        <w:rPr>
          <w:rFonts w:hint="eastAsia" w:ascii="宋体" w:hAnsi="宋体" w:eastAsia="宋体" w:cs="宋体"/>
          <w:sz w:val="28"/>
          <w:szCs w:val="28"/>
        </w:rPr>
      </w:pPr>
    </w:p>
    <w:p>
      <w:pPr>
        <w:rPr>
          <w:rFonts w:hint="eastAsia" w:ascii="宋体" w:hAnsi="宋体" w:eastAsia="宋体" w:cs="宋体"/>
          <w:sz w:val="28"/>
          <w:szCs w:val="28"/>
        </w:rPr>
      </w:pPr>
    </w:p>
    <w:p>
      <w:pPr>
        <w:ind w:firstLine="6160" w:firstLineChars="2200"/>
        <w:rPr>
          <w:rFonts w:hint="eastAsia" w:ascii="宋体" w:hAnsi="宋体" w:eastAsia="宋体" w:cs="宋体"/>
          <w:sz w:val="28"/>
          <w:szCs w:val="28"/>
        </w:rPr>
      </w:pPr>
      <w:r>
        <w:rPr>
          <w:rFonts w:hint="eastAsia" w:ascii="宋体" w:hAnsi="宋体" w:eastAsia="宋体" w:cs="宋体"/>
          <w:sz w:val="28"/>
          <w:szCs w:val="28"/>
        </w:rPr>
        <w:t>2019年7月15日</w:t>
      </w:r>
    </w:p>
    <w:p>
      <w:pPr>
        <w:rPr>
          <w:rFonts w:hint="eastAsia" w:ascii="宋体" w:hAnsi="宋体" w:eastAsia="宋体" w:cs="宋体"/>
          <w:sz w:val="28"/>
          <w:szCs w:val="28"/>
        </w:rPr>
      </w:pPr>
    </w:p>
    <w:p>
      <w:pPr>
        <w:ind w:firstLine="5320" w:firstLineChars="1900"/>
        <w:rPr>
          <w:rFonts w:hint="eastAsia" w:ascii="宋体" w:hAnsi="宋体" w:eastAsia="宋体" w:cs="宋体"/>
          <w:sz w:val="28"/>
          <w:szCs w:val="28"/>
        </w:rPr>
      </w:pPr>
      <w:r>
        <w:rPr>
          <w:rFonts w:hint="eastAsia" w:ascii="宋体" w:hAnsi="宋体" w:eastAsia="宋体" w:cs="宋体"/>
          <w:sz w:val="28"/>
          <w:szCs w:val="28"/>
        </w:rPr>
        <w:t>（联系电话：0851-85837326）</w:t>
      </w:r>
    </w:p>
    <w:p>
      <w:pPr>
        <w:rPr>
          <w:rFonts w:hint="eastAsia" w:ascii="宋体" w:hAnsi="宋体" w:eastAsia="宋体" w:cs="宋体"/>
          <w:sz w:val="28"/>
          <w:szCs w:val="28"/>
        </w:rPr>
      </w:pPr>
    </w:p>
    <w:p>
      <w:pPr>
        <w:rPr>
          <w:rFonts w:hint="eastAsia" w:ascii="宋体" w:hAnsi="宋体" w:eastAsia="宋体" w:cs="宋体"/>
          <w:sz w:val="28"/>
          <w:szCs w:val="28"/>
        </w:rPr>
      </w:pPr>
    </w:p>
    <w:p>
      <w:pPr>
        <w:rPr>
          <w:rFonts w:hint="eastAsia" w:ascii="宋体" w:hAnsi="宋体" w:eastAsia="宋体" w:cs="宋体"/>
          <w:sz w:val="28"/>
          <w:szCs w:val="28"/>
        </w:rPr>
      </w:pPr>
      <w:r>
        <w:rPr>
          <w:rFonts w:hint="eastAsia" w:ascii="宋体" w:hAnsi="宋体" w:eastAsia="宋体" w:cs="宋体"/>
          <w:sz w:val="28"/>
          <w:szCs w:val="28"/>
        </w:rPr>
        <w:t>附件1</w:t>
      </w:r>
    </w:p>
    <w:p>
      <w:pPr>
        <w:rPr>
          <w:rFonts w:hint="eastAsia" w:ascii="宋体" w:hAnsi="宋体" w:eastAsia="宋体" w:cs="宋体"/>
          <w:b/>
          <w:bCs/>
          <w:sz w:val="28"/>
          <w:szCs w:val="28"/>
        </w:rPr>
      </w:pPr>
      <w:r>
        <w:rPr>
          <w:rFonts w:hint="eastAsia" w:ascii="宋体" w:hAnsi="宋体" w:eastAsia="宋体" w:cs="宋体"/>
          <w:b/>
          <w:bCs/>
          <w:sz w:val="28"/>
          <w:szCs w:val="28"/>
        </w:rPr>
        <w:t>省人力资源社会保障厅负责的正高级职称及部分专业副高级职称申报有关事项</w:t>
      </w:r>
    </w:p>
    <w:p>
      <w:pPr>
        <w:rPr>
          <w:rFonts w:hint="eastAsia" w:ascii="宋体" w:hAnsi="宋体" w:eastAsia="宋体" w:cs="宋体"/>
          <w:sz w:val="28"/>
          <w:szCs w:val="28"/>
        </w:rPr>
      </w:pPr>
    </w:p>
    <w:p>
      <w:pPr>
        <w:rPr>
          <w:rFonts w:hint="eastAsia" w:ascii="宋体" w:hAnsi="宋体" w:eastAsia="宋体" w:cs="宋体"/>
          <w:sz w:val="28"/>
          <w:szCs w:val="28"/>
        </w:rPr>
      </w:pPr>
      <w:r>
        <w:rPr>
          <w:rFonts w:hint="eastAsia" w:ascii="宋体" w:hAnsi="宋体" w:eastAsia="宋体" w:cs="宋体"/>
          <w:sz w:val="28"/>
          <w:szCs w:val="28"/>
        </w:rPr>
        <w:t>  一、申报人的申报材料严格按照附件3要求进行装订，对填写、装订不规范的申报材料不予受理。</w:t>
      </w:r>
    </w:p>
    <w:p>
      <w:pPr>
        <w:ind w:firstLine="560" w:firstLineChars="200"/>
        <w:rPr>
          <w:rFonts w:hint="eastAsia" w:ascii="宋体" w:hAnsi="宋体" w:eastAsia="宋体" w:cs="宋体"/>
          <w:sz w:val="28"/>
          <w:szCs w:val="28"/>
        </w:rPr>
      </w:pPr>
      <w:r>
        <w:rPr>
          <w:rFonts w:hint="eastAsia" w:ascii="宋体" w:hAnsi="宋体" w:eastAsia="宋体" w:cs="宋体"/>
          <w:sz w:val="28"/>
          <w:szCs w:val="28"/>
        </w:rPr>
        <w:t>申报人员按要求提供的申报材料，经当地人力资源社会保障部门或主管部门审核盖章后，由各市（州）人力资源和社会保障部门或主管部门出据委托评审函并集中统一上报，同时报送《贵州省申报评审工程专业技术职务任职资格人员花名册》一份（附excel格式电子数据，以执业资格申报的，备注栏注明执业资格名称及取得时间）。各推荐部门应认真审核《贵州省申报评审工程（经济）专业技术职务任职资格人员花名册》内容，确保与《专业技术职务任职资格评审表》和《贵州省申报评审工程系列专业技术职务任职资格审查表》内容一致，否则后果自负。</w:t>
      </w:r>
    </w:p>
    <w:p>
      <w:pPr>
        <w:ind w:firstLine="560" w:firstLineChars="200"/>
        <w:rPr>
          <w:rFonts w:hint="eastAsia" w:ascii="宋体" w:hAnsi="宋体" w:eastAsia="宋体" w:cs="宋体"/>
          <w:sz w:val="28"/>
          <w:szCs w:val="28"/>
        </w:rPr>
      </w:pPr>
      <w:r>
        <w:rPr>
          <w:rFonts w:hint="eastAsia" w:ascii="宋体" w:hAnsi="宋体" w:eastAsia="宋体" w:cs="宋体"/>
          <w:sz w:val="28"/>
          <w:szCs w:val="28"/>
        </w:rPr>
        <w:t>二、参加基层副高级工程师评审认定的可一并报送，需填写《基层副高级专业技术职务任职资格评审认定表》，并在评审委托函及申报材料包装盒上标明“基层认定”字样。</w:t>
      </w:r>
    </w:p>
    <w:p>
      <w:pPr>
        <w:ind w:firstLine="560" w:firstLineChars="200"/>
        <w:rPr>
          <w:rFonts w:hint="eastAsia" w:ascii="宋体" w:hAnsi="宋体" w:eastAsia="宋体" w:cs="宋体"/>
          <w:sz w:val="28"/>
          <w:szCs w:val="28"/>
        </w:rPr>
      </w:pPr>
      <w:r>
        <w:rPr>
          <w:rFonts w:hint="eastAsia" w:ascii="宋体" w:hAnsi="宋体" w:eastAsia="宋体" w:cs="宋体"/>
          <w:sz w:val="28"/>
          <w:szCs w:val="28"/>
        </w:rPr>
        <w:t>三、继续推行正高级专业技术职务任职资格代表论文送审制。申报工程技术应用研究员（正高级）的专业技术人员须在送评的专业论文中选择一篇论文，作为代表论文，并在《审查表》中“指定代表论文”栏目填写确定推荐的代表论文名称，并提供隐去作者姓名及单位信息的word格式电子版（电子文件名统一为：姓名+申报专业+论文标题）。经政策性审查并符合送评条件的，由评审组织机构将申报人指定的代表论文送本专业或相关专业专家进行审评，其审评意见作为评审委员会评审时对申报人员学术水平的重要评价依据之一。</w:t>
      </w:r>
    </w:p>
    <w:p>
      <w:pPr>
        <w:ind w:firstLine="560" w:firstLineChars="200"/>
        <w:rPr>
          <w:rFonts w:hint="eastAsia" w:ascii="宋体" w:hAnsi="宋体" w:eastAsia="宋体" w:cs="宋体"/>
          <w:sz w:val="28"/>
          <w:szCs w:val="28"/>
        </w:rPr>
      </w:pPr>
      <w:r>
        <w:rPr>
          <w:rFonts w:hint="eastAsia" w:ascii="宋体" w:hAnsi="宋体" w:eastAsia="宋体" w:cs="宋体"/>
          <w:sz w:val="28"/>
          <w:szCs w:val="28"/>
        </w:rPr>
        <w:t>四、政策性审查（初审）结果拟于2019年11月在贵州省人力资源和社会保障网公示。对初审结果有异议的，可在公示期间直接通过网上公布的联系方式如实反映相关情况，对反映的问题经核实后，由评审组织机构做出相应处理。</w:t>
      </w:r>
    </w:p>
    <w:p>
      <w:pPr>
        <w:rPr>
          <w:rFonts w:hint="eastAsia" w:ascii="宋体" w:hAnsi="宋体" w:eastAsia="宋体" w:cs="宋体"/>
          <w:sz w:val="28"/>
          <w:szCs w:val="28"/>
        </w:rPr>
      </w:pPr>
      <w:r>
        <w:rPr>
          <w:rFonts w:hint="eastAsia" w:ascii="宋体" w:hAnsi="宋体" w:eastAsia="宋体" w:cs="宋体"/>
          <w:sz w:val="28"/>
          <w:szCs w:val="28"/>
        </w:rPr>
        <w:t>五、申报评审有关表格均按《贵州省专业技术职务任职资格评审评审工作规则》规定填报，相关表格可在贵州省人力资源和社会保障网下载（网址：rst.guizhou.gov.cn）。    </w:t>
      </w:r>
    </w:p>
    <w:p>
      <w:pPr>
        <w:rPr>
          <w:rFonts w:hint="eastAsia" w:ascii="宋体" w:hAnsi="宋体" w:eastAsia="宋体" w:cs="宋体"/>
          <w:sz w:val="28"/>
          <w:szCs w:val="28"/>
        </w:rPr>
      </w:pPr>
    </w:p>
    <w:p>
      <w:pPr>
        <w:rPr>
          <w:rFonts w:hint="eastAsia" w:ascii="宋体" w:hAnsi="宋体" w:eastAsia="宋体" w:cs="宋体"/>
          <w:sz w:val="28"/>
          <w:szCs w:val="28"/>
        </w:rPr>
      </w:pPr>
    </w:p>
    <w:p>
      <w:pPr>
        <w:rPr>
          <w:rFonts w:hint="eastAsia" w:ascii="宋体" w:hAnsi="宋体" w:eastAsia="宋体" w:cs="宋体"/>
          <w:sz w:val="28"/>
          <w:szCs w:val="28"/>
        </w:rPr>
      </w:pPr>
      <w:r>
        <w:rPr>
          <w:rFonts w:hint="eastAsia" w:ascii="宋体" w:hAnsi="宋体" w:eastAsia="宋体" w:cs="宋体"/>
          <w:sz w:val="28"/>
          <w:szCs w:val="28"/>
        </w:rPr>
        <w:t>附件2</w:t>
      </w:r>
    </w:p>
    <w:p>
      <w:pPr>
        <w:jc w:val="center"/>
        <w:rPr>
          <w:rFonts w:hint="eastAsia" w:ascii="宋体" w:hAnsi="宋体" w:eastAsia="宋体" w:cs="宋体"/>
          <w:b/>
          <w:bCs/>
          <w:sz w:val="28"/>
          <w:szCs w:val="28"/>
        </w:rPr>
      </w:pPr>
      <w:r>
        <w:rPr>
          <w:rFonts w:hint="eastAsia" w:ascii="宋体" w:hAnsi="宋体" w:eastAsia="宋体" w:cs="宋体"/>
          <w:b/>
          <w:bCs/>
          <w:sz w:val="28"/>
          <w:szCs w:val="28"/>
        </w:rPr>
        <w:t>贵州省工程系列省级行业部门负责专业列表</w:t>
      </w:r>
    </w:p>
    <w:p>
      <w:pPr>
        <w:rPr>
          <w:rFonts w:hint="eastAsia" w:ascii="宋体" w:hAnsi="宋体" w:eastAsia="宋体" w:cs="宋体"/>
          <w:sz w:val="28"/>
          <w:szCs w:val="28"/>
        </w:rPr>
      </w:pPr>
    </w:p>
    <w:tbl>
      <w:tblPr>
        <w:tblStyle w:val="4"/>
        <w:tblW w:w="8670" w:type="dxa"/>
        <w:jc w:val="center"/>
        <w:tblCellSpacing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909090"/>
        <w:tblLayout w:type="autofit"/>
        <w:tblCellMar>
          <w:top w:w="0" w:type="dxa"/>
          <w:left w:w="0" w:type="dxa"/>
          <w:bottom w:w="0" w:type="dxa"/>
          <w:right w:w="0" w:type="dxa"/>
        </w:tblCellMar>
      </w:tblPr>
      <w:tblGrid>
        <w:gridCol w:w="660"/>
        <w:gridCol w:w="2925"/>
        <w:gridCol w:w="508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909090"/>
          <w:tblCellMar>
            <w:top w:w="0" w:type="dxa"/>
            <w:left w:w="0" w:type="dxa"/>
            <w:bottom w:w="0" w:type="dxa"/>
            <w:right w:w="0" w:type="dxa"/>
          </w:tblCellMar>
        </w:tblPrEx>
        <w:trPr>
          <w:trHeight w:val="510" w:hRule="atLeast"/>
          <w:tblCellSpacing w:w="0" w:type="dxa"/>
          <w:jc w:val="center"/>
        </w:trPr>
        <w:tc>
          <w:tcPr>
            <w:tcW w:w="660" w:type="dxa"/>
            <w:tcBorders>
              <w:top w:val="single" w:color="auto" w:sz="6" w:space="0"/>
              <w:left w:val="single" w:color="auto" w:sz="6" w:space="0"/>
              <w:bottom w:val="single" w:color="auto" w:sz="6" w:space="0"/>
              <w:right w:val="single" w:color="auto" w:sz="6" w:space="0"/>
            </w:tcBorders>
            <w:shd w:val="clear" w:color="auto" w:fill="FFFFFF"/>
            <w:tcMar>
              <w:left w:w="105" w:type="dxa"/>
              <w:right w:w="105" w:type="dxa"/>
            </w:tcMar>
            <w:vAlign w:val="top"/>
          </w:tcPr>
          <w:p>
            <w:pPr>
              <w:rPr>
                <w:rFonts w:hint="eastAsia" w:ascii="宋体" w:hAnsi="宋体" w:eastAsia="宋体" w:cs="宋体"/>
                <w:sz w:val="28"/>
                <w:szCs w:val="28"/>
              </w:rPr>
            </w:pPr>
            <w:r>
              <w:rPr>
                <w:rFonts w:hint="eastAsia" w:ascii="宋体" w:hAnsi="宋体" w:eastAsia="宋体" w:cs="宋体"/>
                <w:sz w:val="28"/>
                <w:szCs w:val="28"/>
              </w:rPr>
              <w:t>序号</w:t>
            </w:r>
          </w:p>
        </w:tc>
        <w:tc>
          <w:tcPr>
            <w:tcW w:w="2925" w:type="dxa"/>
            <w:tcBorders>
              <w:top w:val="single" w:color="auto" w:sz="6" w:space="0"/>
              <w:left w:val="nil"/>
              <w:bottom w:val="single" w:color="auto" w:sz="6" w:space="0"/>
              <w:right w:val="single" w:color="auto" w:sz="6" w:space="0"/>
            </w:tcBorders>
            <w:shd w:val="clear" w:color="auto" w:fill="FFFFFF"/>
            <w:tcMar>
              <w:left w:w="105" w:type="dxa"/>
              <w:right w:w="105" w:type="dxa"/>
            </w:tcMar>
            <w:vAlign w:val="top"/>
          </w:tcPr>
          <w:p>
            <w:pPr>
              <w:rPr>
                <w:rFonts w:hint="eastAsia" w:ascii="宋体" w:hAnsi="宋体" w:eastAsia="宋体" w:cs="宋体"/>
                <w:sz w:val="28"/>
                <w:szCs w:val="28"/>
              </w:rPr>
            </w:pPr>
            <w:r>
              <w:rPr>
                <w:rFonts w:hint="eastAsia" w:ascii="宋体" w:hAnsi="宋体" w:eastAsia="宋体" w:cs="宋体"/>
                <w:sz w:val="28"/>
                <w:szCs w:val="28"/>
              </w:rPr>
              <w:t>专业</w:t>
            </w:r>
          </w:p>
        </w:tc>
        <w:tc>
          <w:tcPr>
            <w:tcW w:w="5085" w:type="dxa"/>
            <w:tcBorders>
              <w:top w:val="single" w:color="auto" w:sz="6" w:space="0"/>
              <w:left w:val="nil"/>
              <w:bottom w:val="single" w:color="auto" w:sz="6" w:space="0"/>
              <w:right w:val="single" w:color="auto" w:sz="6" w:space="0"/>
            </w:tcBorders>
            <w:shd w:val="clear" w:color="auto" w:fill="FFFFFF"/>
            <w:tcMar>
              <w:left w:w="105" w:type="dxa"/>
              <w:right w:w="105" w:type="dxa"/>
            </w:tcMar>
            <w:vAlign w:val="top"/>
          </w:tcPr>
          <w:p>
            <w:pPr>
              <w:rPr>
                <w:rFonts w:hint="eastAsia" w:ascii="宋体" w:hAnsi="宋体" w:eastAsia="宋体" w:cs="宋体"/>
                <w:sz w:val="28"/>
                <w:szCs w:val="28"/>
              </w:rPr>
            </w:pPr>
            <w:r>
              <w:rPr>
                <w:rFonts w:hint="eastAsia" w:ascii="宋体" w:hAnsi="宋体" w:eastAsia="宋体" w:cs="宋体"/>
                <w:sz w:val="28"/>
                <w:szCs w:val="28"/>
              </w:rPr>
              <w:t>省级行业主管部门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10" w:hRule="atLeast"/>
          <w:tblCellSpacing w:w="0" w:type="dxa"/>
          <w:jc w:val="center"/>
        </w:trPr>
        <w:tc>
          <w:tcPr>
            <w:tcW w:w="660" w:type="dxa"/>
            <w:tcBorders>
              <w:top w:val="nil"/>
              <w:left w:val="single" w:color="auto" w:sz="6" w:space="0"/>
              <w:bottom w:val="single" w:color="auto" w:sz="6" w:space="0"/>
              <w:right w:val="single" w:color="auto" w:sz="6" w:space="0"/>
            </w:tcBorders>
            <w:shd w:val="clear" w:color="auto" w:fill="FFFFFF"/>
            <w:tcMar>
              <w:left w:w="105" w:type="dxa"/>
              <w:right w:w="105" w:type="dxa"/>
            </w:tcMar>
            <w:vAlign w:val="top"/>
          </w:tcPr>
          <w:p>
            <w:pPr>
              <w:rPr>
                <w:rFonts w:hint="eastAsia" w:ascii="宋体" w:hAnsi="宋体" w:eastAsia="宋体" w:cs="宋体"/>
                <w:sz w:val="28"/>
                <w:szCs w:val="28"/>
              </w:rPr>
            </w:pPr>
            <w:r>
              <w:rPr>
                <w:rFonts w:hint="eastAsia" w:ascii="宋体" w:hAnsi="宋体" w:eastAsia="宋体" w:cs="宋体"/>
                <w:sz w:val="28"/>
                <w:szCs w:val="28"/>
              </w:rPr>
              <w:t>1</w:t>
            </w:r>
          </w:p>
        </w:tc>
        <w:tc>
          <w:tcPr>
            <w:tcW w:w="2925" w:type="dxa"/>
            <w:tcBorders>
              <w:top w:val="nil"/>
              <w:left w:val="nil"/>
              <w:bottom w:val="single" w:color="auto" w:sz="6" w:space="0"/>
              <w:right w:val="single" w:color="auto" w:sz="6" w:space="0"/>
            </w:tcBorders>
            <w:shd w:val="clear" w:color="auto" w:fill="FFFFFF"/>
            <w:tcMar>
              <w:left w:w="105" w:type="dxa"/>
              <w:right w:w="105" w:type="dxa"/>
            </w:tcMar>
            <w:vAlign w:val="top"/>
          </w:tcPr>
          <w:p>
            <w:pPr>
              <w:rPr>
                <w:rFonts w:hint="eastAsia" w:ascii="宋体" w:hAnsi="宋体" w:eastAsia="宋体" w:cs="宋体"/>
                <w:sz w:val="28"/>
                <w:szCs w:val="28"/>
              </w:rPr>
            </w:pPr>
            <w:r>
              <w:rPr>
                <w:rFonts w:hint="eastAsia" w:ascii="宋体" w:hAnsi="宋体" w:eastAsia="宋体" w:cs="宋体"/>
                <w:sz w:val="28"/>
                <w:szCs w:val="28"/>
              </w:rPr>
              <w:t>交通运输工程</w:t>
            </w:r>
          </w:p>
        </w:tc>
        <w:tc>
          <w:tcPr>
            <w:tcW w:w="5085" w:type="dxa"/>
            <w:tcBorders>
              <w:top w:val="nil"/>
              <w:left w:val="nil"/>
              <w:bottom w:val="single" w:color="auto" w:sz="6" w:space="0"/>
              <w:right w:val="single" w:color="auto" w:sz="6" w:space="0"/>
            </w:tcBorders>
            <w:shd w:val="clear" w:color="auto" w:fill="FFFFFF"/>
            <w:tcMar>
              <w:left w:w="105" w:type="dxa"/>
              <w:right w:w="105" w:type="dxa"/>
            </w:tcMar>
            <w:vAlign w:val="top"/>
          </w:tcPr>
          <w:p>
            <w:pPr>
              <w:rPr>
                <w:rFonts w:hint="eastAsia" w:ascii="宋体" w:hAnsi="宋体" w:eastAsia="宋体" w:cs="宋体"/>
                <w:sz w:val="28"/>
                <w:szCs w:val="28"/>
              </w:rPr>
            </w:pPr>
            <w:r>
              <w:rPr>
                <w:rFonts w:hint="eastAsia" w:ascii="宋体" w:hAnsi="宋体" w:eastAsia="宋体" w:cs="宋体"/>
                <w:sz w:val="28"/>
                <w:szCs w:val="28"/>
              </w:rPr>
              <w:t>省交通运输厅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10" w:hRule="atLeast"/>
          <w:tblCellSpacing w:w="0" w:type="dxa"/>
          <w:jc w:val="center"/>
        </w:trPr>
        <w:tc>
          <w:tcPr>
            <w:tcW w:w="660" w:type="dxa"/>
            <w:tcBorders>
              <w:top w:val="nil"/>
              <w:left w:val="single" w:color="auto" w:sz="6" w:space="0"/>
              <w:bottom w:val="single" w:color="auto" w:sz="6" w:space="0"/>
              <w:right w:val="single" w:color="auto" w:sz="6" w:space="0"/>
            </w:tcBorders>
            <w:shd w:val="clear" w:color="auto" w:fill="FFFFFF"/>
            <w:tcMar>
              <w:left w:w="105" w:type="dxa"/>
              <w:right w:w="105" w:type="dxa"/>
            </w:tcMar>
            <w:vAlign w:val="top"/>
          </w:tcPr>
          <w:p>
            <w:pPr>
              <w:rPr>
                <w:rFonts w:hint="eastAsia" w:ascii="宋体" w:hAnsi="宋体" w:eastAsia="宋体" w:cs="宋体"/>
                <w:sz w:val="28"/>
                <w:szCs w:val="28"/>
              </w:rPr>
            </w:pPr>
            <w:r>
              <w:rPr>
                <w:rFonts w:hint="eastAsia" w:ascii="宋体" w:hAnsi="宋体" w:eastAsia="宋体" w:cs="宋体"/>
                <w:sz w:val="28"/>
                <w:szCs w:val="28"/>
              </w:rPr>
              <w:t>2</w:t>
            </w:r>
          </w:p>
        </w:tc>
        <w:tc>
          <w:tcPr>
            <w:tcW w:w="2925" w:type="dxa"/>
            <w:tcBorders>
              <w:top w:val="nil"/>
              <w:left w:val="nil"/>
              <w:bottom w:val="single" w:color="auto" w:sz="6" w:space="0"/>
              <w:right w:val="single" w:color="auto" w:sz="6" w:space="0"/>
            </w:tcBorders>
            <w:shd w:val="clear" w:color="auto" w:fill="FFFFFF"/>
            <w:tcMar>
              <w:left w:w="105" w:type="dxa"/>
              <w:right w:w="105" w:type="dxa"/>
            </w:tcMar>
            <w:vAlign w:val="top"/>
          </w:tcPr>
          <w:p>
            <w:pPr>
              <w:rPr>
                <w:rFonts w:hint="eastAsia" w:ascii="宋体" w:hAnsi="宋体" w:eastAsia="宋体" w:cs="宋体"/>
                <w:sz w:val="28"/>
                <w:szCs w:val="28"/>
              </w:rPr>
            </w:pPr>
            <w:r>
              <w:rPr>
                <w:rFonts w:hint="eastAsia" w:ascii="宋体" w:hAnsi="宋体" w:eastAsia="宋体" w:cs="宋体"/>
                <w:sz w:val="28"/>
                <w:szCs w:val="28"/>
              </w:rPr>
              <w:t>建筑工程</w:t>
            </w:r>
          </w:p>
        </w:tc>
        <w:tc>
          <w:tcPr>
            <w:tcW w:w="5085" w:type="dxa"/>
            <w:tcBorders>
              <w:top w:val="nil"/>
              <w:left w:val="nil"/>
              <w:bottom w:val="single" w:color="auto" w:sz="6" w:space="0"/>
              <w:right w:val="single" w:color="auto" w:sz="6" w:space="0"/>
            </w:tcBorders>
            <w:shd w:val="clear" w:color="auto" w:fill="FFFFFF"/>
            <w:tcMar>
              <w:left w:w="105" w:type="dxa"/>
              <w:right w:w="105" w:type="dxa"/>
            </w:tcMar>
            <w:vAlign w:val="top"/>
          </w:tcPr>
          <w:p>
            <w:pPr>
              <w:rPr>
                <w:rFonts w:hint="eastAsia" w:ascii="宋体" w:hAnsi="宋体" w:eastAsia="宋体" w:cs="宋体"/>
                <w:sz w:val="28"/>
                <w:szCs w:val="28"/>
              </w:rPr>
            </w:pPr>
            <w:r>
              <w:rPr>
                <w:rFonts w:hint="eastAsia" w:ascii="宋体" w:hAnsi="宋体" w:eastAsia="宋体" w:cs="宋体"/>
                <w:sz w:val="28"/>
                <w:szCs w:val="28"/>
              </w:rPr>
              <w:t>省住房和城乡建设厅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10" w:hRule="atLeast"/>
          <w:tblCellSpacing w:w="0" w:type="dxa"/>
          <w:jc w:val="center"/>
        </w:trPr>
        <w:tc>
          <w:tcPr>
            <w:tcW w:w="660" w:type="dxa"/>
            <w:tcBorders>
              <w:top w:val="nil"/>
              <w:left w:val="single" w:color="auto" w:sz="6" w:space="0"/>
              <w:bottom w:val="single" w:color="auto" w:sz="6" w:space="0"/>
              <w:right w:val="single" w:color="auto" w:sz="6" w:space="0"/>
            </w:tcBorders>
            <w:shd w:val="clear" w:color="auto" w:fill="FFFFFF"/>
            <w:tcMar>
              <w:left w:w="105" w:type="dxa"/>
              <w:right w:w="105" w:type="dxa"/>
            </w:tcMar>
            <w:vAlign w:val="top"/>
          </w:tcPr>
          <w:p>
            <w:pPr>
              <w:rPr>
                <w:rFonts w:hint="eastAsia" w:ascii="宋体" w:hAnsi="宋体" w:eastAsia="宋体" w:cs="宋体"/>
                <w:sz w:val="28"/>
                <w:szCs w:val="28"/>
              </w:rPr>
            </w:pPr>
            <w:r>
              <w:rPr>
                <w:rFonts w:hint="eastAsia" w:ascii="宋体" w:hAnsi="宋体" w:eastAsia="宋体" w:cs="宋体"/>
                <w:sz w:val="28"/>
                <w:szCs w:val="28"/>
              </w:rPr>
              <w:t>3</w:t>
            </w:r>
          </w:p>
        </w:tc>
        <w:tc>
          <w:tcPr>
            <w:tcW w:w="2925" w:type="dxa"/>
            <w:tcBorders>
              <w:top w:val="nil"/>
              <w:left w:val="nil"/>
              <w:bottom w:val="single" w:color="auto" w:sz="6" w:space="0"/>
              <w:right w:val="single" w:color="auto" w:sz="6" w:space="0"/>
            </w:tcBorders>
            <w:shd w:val="clear" w:color="auto" w:fill="FFFFFF"/>
            <w:tcMar>
              <w:left w:w="105" w:type="dxa"/>
              <w:right w:w="105" w:type="dxa"/>
            </w:tcMar>
            <w:vAlign w:val="top"/>
          </w:tcPr>
          <w:p>
            <w:pPr>
              <w:rPr>
                <w:rFonts w:hint="eastAsia" w:ascii="宋体" w:hAnsi="宋体" w:eastAsia="宋体" w:cs="宋体"/>
                <w:sz w:val="28"/>
                <w:szCs w:val="28"/>
              </w:rPr>
            </w:pPr>
            <w:r>
              <w:rPr>
                <w:rFonts w:hint="eastAsia" w:ascii="宋体" w:hAnsi="宋体" w:eastAsia="宋体" w:cs="宋体"/>
                <w:sz w:val="28"/>
                <w:szCs w:val="28"/>
              </w:rPr>
              <w:t>林业工程</w:t>
            </w:r>
          </w:p>
        </w:tc>
        <w:tc>
          <w:tcPr>
            <w:tcW w:w="5085" w:type="dxa"/>
            <w:tcBorders>
              <w:top w:val="nil"/>
              <w:left w:val="nil"/>
              <w:bottom w:val="single" w:color="auto" w:sz="6" w:space="0"/>
              <w:right w:val="single" w:color="auto" w:sz="6" w:space="0"/>
            </w:tcBorders>
            <w:shd w:val="clear" w:color="auto" w:fill="FFFFFF"/>
            <w:tcMar>
              <w:left w:w="105" w:type="dxa"/>
              <w:right w:w="105" w:type="dxa"/>
            </w:tcMar>
            <w:vAlign w:val="top"/>
          </w:tcPr>
          <w:p>
            <w:pPr>
              <w:rPr>
                <w:rFonts w:hint="eastAsia" w:ascii="宋体" w:hAnsi="宋体" w:eastAsia="宋体" w:cs="宋体"/>
                <w:sz w:val="28"/>
                <w:szCs w:val="28"/>
              </w:rPr>
            </w:pPr>
            <w:r>
              <w:rPr>
                <w:rFonts w:hint="eastAsia" w:ascii="宋体" w:hAnsi="宋体" w:eastAsia="宋体" w:cs="宋体"/>
                <w:sz w:val="28"/>
                <w:szCs w:val="28"/>
              </w:rPr>
              <w:t>省林业局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10" w:hRule="atLeast"/>
          <w:tblCellSpacing w:w="0" w:type="dxa"/>
          <w:jc w:val="center"/>
        </w:trPr>
        <w:tc>
          <w:tcPr>
            <w:tcW w:w="660" w:type="dxa"/>
            <w:tcBorders>
              <w:top w:val="nil"/>
              <w:left w:val="single" w:color="auto" w:sz="6" w:space="0"/>
              <w:bottom w:val="single" w:color="auto" w:sz="6" w:space="0"/>
              <w:right w:val="single" w:color="auto" w:sz="6" w:space="0"/>
            </w:tcBorders>
            <w:shd w:val="clear" w:color="auto" w:fill="FFFFFF"/>
            <w:tcMar>
              <w:left w:w="105" w:type="dxa"/>
              <w:right w:w="105" w:type="dxa"/>
            </w:tcMar>
            <w:vAlign w:val="top"/>
          </w:tcPr>
          <w:p>
            <w:pPr>
              <w:rPr>
                <w:rFonts w:hint="eastAsia" w:ascii="宋体" w:hAnsi="宋体" w:eastAsia="宋体" w:cs="宋体"/>
                <w:sz w:val="28"/>
                <w:szCs w:val="28"/>
              </w:rPr>
            </w:pPr>
            <w:r>
              <w:rPr>
                <w:rFonts w:hint="eastAsia" w:ascii="宋体" w:hAnsi="宋体" w:eastAsia="宋体" w:cs="宋体"/>
                <w:sz w:val="28"/>
                <w:szCs w:val="28"/>
              </w:rPr>
              <w:t>4</w:t>
            </w:r>
          </w:p>
        </w:tc>
        <w:tc>
          <w:tcPr>
            <w:tcW w:w="2925" w:type="dxa"/>
            <w:tcBorders>
              <w:top w:val="nil"/>
              <w:left w:val="nil"/>
              <w:bottom w:val="single" w:color="auto" w:sz="6" w:space="0"/>
              <w:right w:val="single" w:color="auto" w:sz="6" w:space="0"/>
            </w:tcBorders>
            <w:shd w:val="clear" w:color="auto" w:fill="FFFFFF"/>
            <w:tcMar>
              <w:left w:w="105" w:type="dxa"/>
              <w:right w:w="105" w:type="dxa"/>
            </w:tcMar>
            <w:vAlign w:val="top"/>
          </w:tcPr>
          <w:p>
            <w:pPr>
              <w:rPr>
                <w:rFonts w:hint="eastAsia" w:ascii="宋体" w:hAnsi="宋体" w:eastAsia="宋体" w:cs="宋体"/>
                <w:sz w:val="28"/>
                <w:szCs w:val="28"/>
              </w:rPr>
            </w:pPr>
            <w:r>
              <w:rPr>
                <w:rFonts w:hint="eastAsia" w:ascii="宋体" w:hAnsi="宋体" w:eastAsia="宋体" w:cs="宋体"/>
                <w:sz w:val="28"/>
                <w:szCs w:val="28"/>
              </w:rPr>
              <w:t>水利工程</w:t>
            </w:r>
          </w:p>
        </w:tc>
        <w:tc>
          <w:tcPr>
            <w:tcW w:w="5085" w:type="dxa"/>
            <w:tcBorders>
              <w:top w:val="nil"/>
              <w:left w:val="nil"/>
              <w:bottom w:val="single" w:color="auto" w:sz="6" w:space="0"/>
              <w:right w:val="single" w:color="auto" w:sz="6" w:space="0"/>
            </w:tcBorders>
            <w:shd w:val="clear" w:color="auto" w:fill="FFFFFF"/>
            <w:tcMar>
              <w:left w:w="105" w:type="dxa"/>
              <w:right w:w="105" w:type="dxa"/>
            </w:tcMar>
            <w:vAlign w:val="top"/>
          </w:tcPr>
          <w:p>
            <w:pPr>
              <w:rPr>
                <w:rFonts w:hint="eastAsia" w:ascii="宋体" w:hAnsi="宋体" w:eastAsia="宋体" w:cs="宋体"/>
                <w:sz w:val="28"/>
                <w:szCs w:val="28"/>
              </w:rPr>
            </w:pPr>
            <w:r>
              <w:rPr>
                <w:rFonts w:hint="eastAsia" w:ascii="宋体" w:hAnsi="宋体" w:eastAsia="宋体" w:cs="宋体"/>
                <w:sz w:val="28"/>
                <w:szCs w:val="28"/>
              </w:rPr>
              <w:t>省水利厅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10" w:hRule="atLeast"/>
          <w:tblCellSpacing w:w="0" w:type="dxa"/>
          <w:jc w:val="center"/>
        </w:trPr>
        <w:tc>
          <w:tcPr>
            <w:tcW w:w="660" w:type="dxa"/>
            <w:tcBorders>
              <w:top w:val="nil"/>
              <w:left w:val="single" w:color="auto" w:sz="6" w:space="0"/>
              <w:bottom w:val="single" w:color="auto" w:sz="6" w:space="0"/>
              <w:right w:val="single" w:color="auto" w:sz="6" w:space="0"/>
            </w:tcBorders>
            <w:shd w:val="clear" w:color="auto" w:fill="FFFFFF"/>
            <w:tcMar>
              <w:left w:w="105" w:type="dxa"/>
              <w:right w:w="105" w:type="dxa"/>
            </w:tcMar>
            <w:vAlign w:val="top"/>
          </w:tcPr>
          <w:p>
            <w:pPr>
              <w:rPr>
                <w:rFonts w:hint="eastAsia" w:ascii="宋体" w:hAnsi="宋体" w:eastAsia="宋体" w:cs="宋体"/>
                <w:sz w:val="28"/>
                <w:szCs w:val="28"/>
              </w:rPr>
            </w:pPr>
            <w:r>
              <w:rPr>
                <w:rFonts w:hint="eastAsia" w:ascii="宋体" w:hAnsi="宋体" w:eastAsia="宋体" w:cs="宋体"/>
                <w:sz w:val="28"/>
                <w:szCs w:val="28"/>
              </w:rPr>
              <w:t>5</w:t>
            </w:r>
          </w:p>
        </w:tc>
        <w:tc>
          <w:tcPr>
            <w:tcW w:w="2925" w:type="dxa"/>
            <w:tcBorders>
              <w:top w:val="nil"/>
              <w:left w:val="nil"/>
              <w:bottom w:val="single" w:color="auto" w:sz="6" w:space="0"/>
              <w:right w:val="single" w:color="auto" w:sz="6" w:space="0"/>
            </w:tcBorders>
            <w:shd w:val="clear" w:color="auto" w:fill="FFFFFF"/>
            <w:tcMar>
              <w:left w:w="105" w:type="dxa"/>
              <w:right w:w="105" w:type="dxa"/>
            </w:tcMar>
            <w:vAlign w:val="top"/>
          </w:tcPr>
          <w:p>
            <w:pPr>
              <w:rPr>
                <w:rFonts w:hint="eastAsia" w:ascii="宋体" w:hAnsi="宋体" w:eastAsia="宋体" w:cs="宋体"/>
                <w:sz w:val="28"/>
                <w:szCs w:val="28"/>
              </w:rPr>
            </w:pPr>
            <w:r>
              <w:rPr>
                <w:rFonts w:hint="eastAsia" w:ascii="宋体" w:hAnsi="宋体" w:eastAsia="宋体" w:cs="宋体"/>
                <w:sz w:val="28"/>
                <w:szCs w:val="28"/>
              </w:rPr>
              <w:t>环境保护工程</w:t>
            </w:r>
          </w:p>
        </w:tc>
        <w:tc>
          <w:tcPr>
            <w:tcW w:w="5085" w:type="dxa"/>
            <w:tcBorders>
              <w:top w:val="nil"/>
              <w:left w:val="nil"/>
              <w:bottom w:val="single" w:color="auto" w:sz="6" w:space="0"/>
              <w:right w:val="single" w:color="auto" w:sz="6" w:space="0"/>
            </w:tcBorders>
            <w:shd w:val="clear" w:color="auto" w:fill="FFFFFF"/>
            <w:tcMar>
              <w:left w:w="105" w:type="dxa"/>
              <w:right w:w="105" w:type="dxa"/>
            </w:tcMar>
            <w:vAlign w:val="top"/>
          </w:tcPr>
          <w:p>
            <w:pPr>
              <w:rPr>
                <w:rFonts w:hint="eastAsia" w:ascii="宋体" w:hAnsi="宋体" w:eastAsia="宋体" w:cs="宋体"/>
                <w:sz w:val="28"/>
                <w:szCs w:val="28"/>
              </w:rPr>
            </w:pPr>
            <w:r>
              <w:rPr>
                <w:rFonts w:hint="eastAsia" w:ascii="宋体" w:hAnsi="宋体" w:eastAsia="宋体" w:cs="宋体"/>
                <w:sz w:val="28"/>
                <w:szCs w:val="28"/>
              </w:rPr>
              <w:t>省生态环境厅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10" w:hRule="atLeast"/>
          <w:tblCellSpacing w:w="0" w:type="dxa"/>
          <w:jc w:val="center"/>
        </w:trPr>
        <w:tc>
          <w:tcPr>
            <w:tcW w:w="660" w:type="dxa"/>
            <w:tcBorders>
              <w:top w:val="nil"/>
              <w:left w:val="single" w:color="auto" w:sz="6" w:space="0"/>
              <w:bottom w:val="single" w:color="auto" w:sz="6" w:space="0"/>
              <w:right w:val="single" w:color="auto" w:sz="6" w:space="0"/>
            </w:tcBorders>
            <w:shd w:val="clear" w:color="auto" w:fill="FFFFFF"/>
            <w:tcMar>
              <w:left w:w="105" w:type="dxa"/>
              <w:right w:w="105" w:type="dxa"/>
            </w:tcMar>
            <w:vAlign w:val="top"/>
          </w:tcPr>
          <w:p>
            <w:pPr>
              <w:rPr>
                <w:rFonts w:hint="eastAsia" w:ascii="宋体" w:hAnsi="宋体" w:eastAsia="宋体" w:cs="宋体"/>
                <w:sz w:val="28"/>
                <w:szCs w:val="28"/>
              </w:rPr>
            </w:pPr>
            <w:r>
              <w:rPr>
                <w:rFonts w:hint="eastAsia" w:ascii="宋体" w:hAnsi="宋体" w:eastAsia="宋体" w:cs="宋体"/>
                <w:sz w:val="28"/>
                <w:szCs w:val="28"/>
              </w:rPr>
              <w:t>6</w:t>
            </w:r>
          </w:p>
        </w:tc>
        <w:tc>
          <w:tcPr>
            <w:tcW w:w="2925" w:type="dxa"/>
            <w:tcBorders>
              <w:top w:val="nil"/>
              <w:left w:val="nil"/>
              <w:bottom w:val="single" w:color="auto" w:sz="6" w:space="0"/>
              <w:right w:val="single" w:color="auto" w:sz="6" w:space="0"/>
            </w:tcBorders>
            <w:shd w:val="clear" w:color="auto" w:fill="FFFFFF"/>
            <w:tcMar>
              <w:left w:w="105" w:type="dxa"/>
              <w:right w:w="105" w:type="dxa"/>
            </w:tcMar>
            <w:vAlign w:val="top"/>
          </w:tcPr>
          <w:p>
            <w:pPr>
              <w:rPr>
                <w:rFonts w:hint="eastAsia" w:ascii="宋体" w:hAnsi="宋体" w:eastAsia="宋体" w:cs="宋体"/>
                <w:sz w:val="28"/>
                <w:szCs w:val="28"/>
              </w:rPr>
            </w:pPr>
            <w:r>
              <w:rPr>
                <w:rFonts w:hint="eastAsia" w:ascii="宋体" w:hAnsi="宋体" w:eastAsia="宋体" w:cs="宋体"/>
                <w:sz w:val="28"/>
                <w:szCs w:val="28"/>
              </w:rPr>
              <w:t>国土测绘工程</w:t>
            </w:r>
          </w:p>
        </w:tc>
        <w:tc>
          <w:tcPr>
            <w:tcW w:w="5085" w:type="dxa"/>
            <w:tcBorders>
              <w:top w:val="nil"/>
              <w:left w:val="nil"/>
              <w:bottom w:val="single" w:color="auto" w:sz="6" w:space="0"/>
              <w:right w:val="single" w:color="auto" w:sz="6" w:space="0"/>
            </w:tcBorders>
            <w:shd w:val="clear" w:color="auto" w:fill="FFFFFF"/>
            <w:tcMar>
              <w:left w:w="105" w:type="dxa"/>
              <w:right w:w="105" w:type="dxa"/>
            </w:tcMar>
            <w:vAlign w:val="top"/>
          </w:tcPr>
          <w:p>
            <w:pPr>
              <w:rPr>
                <w:rFonts w:hint="eastAsia" w:ascii="宋体" w:hAnsi="宋体" w:eastAsia="宋体" w:cs="宋体"/>
                <w:sz w:val="28"/>
                <w:szCs w:val="28"/>
              </w:rPr>
            </w:pPr>
            <w:r>
              <w:rPr>
                <w:rFonts w:hint="eastAsia" w:ascii="宋体" w:hAnsi="宋体" w:eastAsia="宋体" w:cs="宋体"/>
                <w:sz w:val="28"/>
                <w:szCs w:val="28"/>
              </w:rPr>
              <w:t>省自然资源厅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10" w:hRule="atLeast"/>
          <w:tblCellSpacing w:w="0" w:type="dxa"/>
          <w:jc w:val="center"/>
        </w:trPr>
        <w:tc>
          <w:tcPr>
            <w:tcW w:w="660" w:type="dxa"/>
            <w:tcBorders>
              <w:top w:val="nil"/>
              <w:left w:val="single" w:color="auto" w:sz="6" w:space="0"/>
              <w:bottom w:val="single" w:color="auto" w:sz="6" w:space="0"/>
              <w:right w:val="single" w:color="auto" w:sz="6" w:space="0"/>
            </w:tcBorders>
            <w:shd w:val="clear" w:color="auto" w:fill="FFFFFF"/>
            <w:tcMar>
              <w:left w:w="105" w:type="dxa"/>
              <w:right w:w="105" w:type="dxa"/>
            </w:tcMar>
            <w:vAlign w:val="top"/>
          </w:tcPr>
          <w:p>
            <w:pPr>
              <w:rPr>
                <w:rFonts w:hint="eastAsia" w:ascii="宋体" w:hAnsi="宋体" w:eastAsia="宋体" w:cs="宋体"/>
                <w:sz w:val="28"/>
                <w:szCs w:val="28"/>
              </w:rPr>
            </w:pPr>
            <w:r>
              <w:rPr>
                <w:rFonts w:hint="eastAsia" w:ascii="宋体" w:hAnsi="宋体" w:eastAsia="宋体" w:cs="宋体"/>
                <w:sz w:val="28"/>
                <w:szCs w:val="28"/>
              </w:rPr>
              <w:t>7</w:t>
            </w:r>
          </w:p>
        </w:tc>
        <w:tc>
          <w:tcPr>
            <w:tcW w:w="2925" w:type="dxa"/>
            <w:tcBorders>
              <w:top w:val="nil"/>
              <w:left w:val="nil"/>
              <w:bottom w:val="single" w:color="auto" w:sz="6" w:space="0"/>
              <w:right w:val="single" w:color="auto" w:sz="6" w:space="0"/>
            </w:tcBorders>
            <w:shd w:val="clear" w:color="auto" w:fill="FFFFFF"/>
            <w:tcMar>
              <w:left w:w="105" w:type="dxa"/>
              <w:right w:w="105" w:type="dxa"/>
            </w:tcMar>
            <w:vAlign w:val="top"/>
          </w:tcPr>
          <w:p>
            <w:pPr>
              <w:rPr>
                <w:rFonts w:hint="eastAsia" w:ascii="宋体" w:hAnsi="宋体" w:eastAsia="宋体" w:cs="宋体"/>
                <w:sz w:val="28"/>
                <w:szCs w:val="28"/>
              </w:rPr>
            </w:pPr>
            <w:r>
              <w:rPr>
                <w:rFonts w:hint="eastAsia" w:ascii="宋体" w:hAnsi="宋体" w:eastAsia="宋体" w:cs="宋体"/>
                <w:sz w:val="28"/>
                <w:szCs w:val="28"/>
              </w:rPr>
              <w:t>质量技术</w:t>
            </w:r>
          </w:p>
        </w:tc>
        <w:tc>
          <w:tcPr>
            <w:tcW w:w="5085" w:type="dxa"/>
            <w:tcBorders>
              <w:top w:val="nil"/>
              <w:left w:val="nil"/>
              <w:bottom w:val="single" w:color="auto" w:sz="6" w:space="0"/>
              <w:right w:val="single" w:color="auto" w:sz="6" w:space="0"/>
            </w:tcBorders>
            <w:shd w:val="clear" w:color="auto" w:fill="FFFFFF"/>
            <w:tcMar>
              <w:left w:w="105" w:type="dxa"/>
              <w:right w:w="105" w:type="dxa"/>
            </w:tcMar>
            <w:vAlign w:val="top"/>
          </w:tcPr>
          <w:p>
            <w:pPr>
              <w:rPr>
                <w:rFonts w:hint="eastAsia" w:ascii="宋体" w:hAnsi="宋体" w:eastAsia="宋体" w:cs="宋体"/>
                <w:sz w:val="28"/>
                <w:szCs w:val="28"/>
              </w:rPr>
            </w:pPr>
            <w:r>
              <w:rPr>
                <w:rFonts w:hint="eastAsia" w:ascii="宋体" w:hAnsi="宋体" w:eastAsia="宋体" w:cs="宋体"/>
                <w:sz w:val="28"/>
                <w:szCs w:val="28"/>
              </w:rPr>
              <w:t>省市场监管局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10" w:hRule="atLeast"/>
          <w:tblCellSpacing w:w="0" w:type="dxa"/>
          <w:jc w:val="center"/>
        </w:trPr>
        <w:tc>
          <w:tcPr>
            <w:tcW w:w="660" w:type="dxa"/>
            <w:tcBorders>
              <w:top w:val="nil"/>
              <w:left w:val="single" w:color="auto" w:sz="6" w:space="0"/>
              <w:bottom w:val="single" w:color="auto" w:sz="6" w:space="0"/>
              <w:right w:val="single" w:color="auto" w:sz="6" w:space="0"/>
            </w:tcBorders>
            <w:shd w:val="clear" w:color="auto" w:fill="FFFFFF"/>
            <w:tcMar>
              <w:left w:w="105" w:type="dxa"/>
              <w:right w:w="105" w:type="dxa"/>
            </w:tcMar>
            <w:vAlign w:val="top"/>
          </w:tcPr>
          <w:p>
            <w:pPr>
              <w:rPr>
                <w:rFonts w:hint="eastAsia" w:ascii="宋体" w:hAnsi="宋体" w:eastAsia="宋体" w:cs="宋体"/>
                <w:sz w:val="28"/>
                <w:szCs w:val="28"/>
              </w:rPr>
            </w:pPr>
            <w:r>
              <w:rPr>
                <w:rFonts w:hint="eastAsia" w:ascii="宋体" w:hAnsi="宋体" w:eastAsia="宋体" w:cs="宋体"/>
                <w:sz w:val="28"/>
                <w:szCs w:val="28"/>
              </w:rPr>
              <w:t>8</w:t>
            </w:r>
          </w:p>
        </w:tc>
        <w:tc>
          <w:tcPr>
            <w:tcW w:w="2925" w:type="dxa"/>
            <w:tcBorders>
              <w:top w:val="nil"/>
              <w:left w:val="nil"/>
              <w:bottom w:val="single" w:color="auto" w:sz="6" w:space="0"/>
              <w:right w:val="single" w:color="auto" w:sz="6" w:space="0"/>
            </w:tcBorders>
            <w:shd w:val="clear" w:color="auto" w:fill="FFFFFF"/>
            <w:tcMar>
              <w:left w:w="105" w:type="dxa"/>
              <w:right w:w="105" w:type="dxa"/>
            </w:tcMar>
            <w:vAlign w:val="top"/>
          </w:tcPr>
          <w:p>
            <w:pPr>
              <w:rPr>
                <w:rFonts w:hint="eastAsia" w:ascii="宋体" w:hAnsi="宋体" w:eastAsia="宋体" w:cs="宋体"/>
                <w:sz w:val="28"/>
                <w:szCs w:val="28"/>
              </w:rPr>
            </w:pPr>
            <w:r>
              <w:rPr>
                <w:rFonts w:hint="eastAsia" w:ascii="宋体" w:hAnsi="宋体" w:eastAsia="宋体" w:cs="宋体"/>
                <w:sz w:val="28"/>
                <w:szCs w:val="28"/>
              </w:rPr>
              <w:t>广播电视技术</w:t>
            </w:r>
          </w:p>
        </w:tc>
        <w:tc>
          <w:tcPr>
            <w:tcW w:w="5085" w:type="dxa"/>
            <w:tcBorders>
              <w:top w:val="nil"/>
              <w:left w:val="nil"/>
              <w:bottom w:val="single" w:color="auto" w:sz="6" w:space="0"/>
              <w:right w:val="single" w:color="auto" w:sz="6" w:space="0"/>
            </w:tcBorders>
            <w:shd w:val="clear" w:color="auto" w:fill="FFFFFF"/>
            <w:tcMar>
              <w:left w:w="105" w:type="dxa"/>
              <w:right w:w="105" w:type="dxa"/>
            </w:tcMar>
            <w:vAlign w:val="top"/>
          </w:tcPr>
          <w:p>
            <w:pPr>
              <w:rPr>
                <w:rFonts w:hint="eastAsia" w:ascii="宋体" w:hAnsi="宋体" w:eastAsia="宋体" w:cs="宋体"/>
                <w:sz w:val="28"/>
                <w:szCs w:val="28"/>
              </w:rPr>
            </w:pPr>
            <w:r>
              <w:rPr>
                <w:rFonts w:hint="eastAsia" w:ascii="宋体" w:hAnsi="宋体" w:eastAsia="宋体" w:cs="宋体"/>
                <w:sz w:val="28"/>
                <w:szCs w:val="28"/>
              </w:rPr>
              <w:t>省广播电视局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10" w:hRule="atLeast"/>
          <w:tblCellSpacing w:w="0" w:type="dxa"/>
          <w:jc w:val="center"/>
        </w:trPr>
        <w:tc>
          <w:tcPr>
            <w:tcW w:w="660" w:type="dxa"/>
            <w:tcBorders>
              <w:top w:val="nil"/>
              <w:left w:val="single" w:color="auto" w:sz="6" w:space="0"/>
              <w:bottom w:val="single" w:color="auto" w:sz="6" w:space="0"/>
              <w:right w:val="single" w:color="auto" w:sz="6" w:space="0"/>
            </w:tcBorders>
            <w:shd w:val="clear" w:color="auto" w:fill="FFFFFF"/>
            <w:tcMar>
              <w:left w:w="105" w:type="dxa"/>
              <w:right w:w="105" w:type="dxa"/>
            </w:tcMar>
            <w:vAlign w:val="top"/>
          </w:tcPr>
          <w:p>
            <w:pPr>
              <w:rPr>
                <w:rFonts w:hint="eastAsia" w:ascii="宋体" w:hAnsi="宋体" w:eastAsia="宋体" w:cs="宋体"/>
                <w:sz w:val="28"/>
                <w:szCs w:val="28"/>
              </w:rPr>
            </w:pPr>
            <w:r>
              <w:rPr>
                <w:rFonts w:hint="eastAsia" w:ascii="宋体" w:hAnsi="宋体" w:eastAsia="宋体" w:cs="宋体"/>
                <w:sz w:val="28"/>
                <w:szCs w:val="28"/>
              </w:rPr>
              <w:t>9</w:t>
            </w:r>
          </w:p>
        </w:tc>
        <w:tc>
          <w:tcPr>
            <w:tcW w:w="2925" w:type="dxa"/>
            <w:tcBorders>
              <w:top w:val="nil"/>
              <w:left w:val="nil"/>
              <w:bottom w:val="single" w:color="auto" w:sz="6" w:space="0"/>
              <w:right w:val="single" w:color="auto" w:sz="6" w:space="0"/>
            </w:tcBorders>
            <w:shd w:val="clear" w:color="auto" w:fill="FFFFFF"/>
            <w:tcMar>
              <w:left w:w="105" w:type="dxa"/>
              <w:right w:w="105" w:type="dxa"/>
            </w:tcMar>
            <w:vAlign w:val="top"/>
          </w:tcPr>
          <w:p>
            <w:pPr>
              <w:rPr>
                <w:rFonts w:hint="eastAsia" w:ascii="宋体" w:hAnsi="宋体" w:eastAsia="宋体" w:cs="宋体"/>
                <w:sz w:val="28"/>
                <w:szCs w:val="28"/>
              </w:rPr>
            </w:pPr>
            <w:r>
              <w:rPr>
                <w:rFonts w:hint="eastAsia" w:ascii="宋体" w:hAnsi="宋体" w:eastAsia="宋体" w:cs="宋体"/>
                <w:sz w:val="28"/>
                <w:szCs w:val="28"/>
              </w:rPr>
              <w:t>能源矿山技术</w:t>
            </w:r>
          </w:p>
        </w:tc>
        <w:tc>
          <w:tcPr>
            <w:tcW w:w="5085" w:type="dxa"/>
            <w:tcBorders>
              <w:top w:val="nil"/>
              <w:left w:val="nil"/>
              <w:bottom w:val="single" w:color="auto" w:sz="6" w:space="0"/>
              <w:right w:val="single" w:color="auto" w:sz="6" w:space="0"/>
            </w:tcBorders>
            <w:shd w:val="clear" w:color="auto" w:fill="FFFFFF"/>
            <w:tcMar>
              <w:left w:w="105" w:type="dxa"/>
              <w:right w:w="105" w:type="dxa"/>
            </w:tcMar>
            <w:vAlign w:val="top"/>
          </w:tcPr>
          <w:p>
            <w:pPr>
              <w:rPr>
                <w:rFonts w:hint="eastAsia" w:ascii="宋体" w:hAnsi="宋体" w:eastAsia="宋体" w:cs="宋体"/>
                <w:sz w:val="28"/>
                <w:szCs w:val="28"/>
              </w:rPr>
            </w:pPr>
            <w:r>
              <w:rPr>
                <w:rFonts w:hint="eastAsia" w:ascii="宋体" w:hAnsi="宋体" w:eastAsia="宋体" w:cs="宋体"/>
                <w:sz w:val="28"/>
                <w:szCs w:val="28"/>
              </w:rPr>
              <w:t>省能源局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10" w:hRule="atLeast"/>
          <w:tblCellSpacing w:w="0" w:type="dxa"/>
          <w:jc w:val="center"/>
        </w:trPr>
        <w:tc>
          <w:tcPr>
            <w:tcW w:w="660" w:type="dxa"/>
            <w:tcBorders>
              <w:top w:val="nil"/>
              <w:left w:val="single" w:color="auto" w:sz="6" w:space="0"/>
              <w:bottom w:val="single" w:color="auto" w:sz="6" w:space="0"/>
              <w:right w:val="single" w:color="auto" w:sz="6" w:space="0"/>
            </w:tcBorders>
            <w:shd w:val="clear" w:color="auto" w:fill="FFFFFF"/>
            <w:tcMar>
              <w:left w:w="105" w:type="dxa"/>
              <w:right w:w="105" w:type="dxa"/>
            </w:tcMar>
            <w:vAlign w:val="top"/>
          </w:tcPr>
          <w:p>
            <w:pPr>
              <w:rPr>
                <w:rFonts w:hint="eastAsia" w:ascii="宋体" w:hAnsi="宋体" w:eastAsia="宋体" w:cs="宋体"/>
                <w:sz w:val="28"/>
                <w:szCs w:val="28"/>
              </w:rPr>
            </w:pPr>
            <w:r>
              <w:rPr>
                <w:rFonts w:hint="eastAsia" w:ascii="宋体" w:hAnsi="宋体" w:eastAsia="宋体" w:cs="宋体"/>
                <w:sz w:val="28"/>
                <w:szCs w:val="28"/>
              </w:rPr>
              <w:t>10</w:t>
            </w:r>
          </w:p>
        </w:tc>
        <w:tc>
          <w:tcPr>
            <w:tcW w:w="2925" w:type="dxa"/>
            <w:tcBorders>
              <w:top w:val="nil"/>
              <w:left w:val="nil"/>
              <w:bottom w:val="single" w:color="auto" w:sz="6" w:space="0"/>
              <w:right w:val="single" w:color="auto" w:sz="6" w:space="0"/>
            </w:tcBorders>
            <w:shd w:val="clear" w:color="auto" w:fill="FFFFFF"/>
            <w:tcMar>
              <w:left w:w="105" w:type="dxa"/>
              <w:right w:w="105" w:type="dxa"/>
            </w:tcMar>
            <w:vAlign w:val="top"/>
          </w:tcPr>
          <w:p>
            <w:pPr>
              <w:rPr>
                <w:rFonts w:hint="eastAsia" w:ascii="宋体" w:hAnsi="宋体" w:eastAsia="宋体" w:cs="宋体"/>
                <w:sz w:val="28"/>
                <w:szCs w:val="28"/>
              </w:rPr>
            </w:pPr>
            <w:r>
              <w:rPr>
                <w:rFonts w:hint="eastAsia" w:ascii="宋体" w:hAnsi="宋体" w:eastAsia="宋体" w:cs="宋体"/>
                <w:sz w:val="28"/>
                <w:szCs w:val="28"/>
              </w:rPr>
              <w:t>地质地矿</w:t>
            </w:r>
          </w:p>
        </w:tc>
        <w:tc>
          <w:tcPr>
            <w:tcW w:w="5085" w:type="dxa"/>
            <w:tcBorders>
              <w:top w:val="nil"/>
              <w:left w:val="nil"/>
              <w:bottom w:val="single" w:color="auto" w:sz="6" w:space="0"/>
              <w:right w:val="single" w:color="auto" w:sz="6" w:space="0"/>
            </w:tcBorders>
            <w:shd w:val="clear" w:color="auto" w:fill="FFFFFF"/>
            <w:tcMar>
              <w:left w:w="105" w:type="dxa"/>
              <w:right w:w="105" w:type="dxa"/>
            </w:tcMar>
            <w:vAlign w:val="top"/>
          </w:tcPr>
          <w:p>
            <w:pPr>
              <w:rPr>
                <w:rFonts w:hint="eastAsia" w:ascii="宋体" w:hAnsi="宋体" w:eastAsia="宋体" w:cs="宋体"/>
                <w:sz w:val="28"/>
                <w:szCs w:val="28"/>
              </w:rPr>
            </w:pPr>
            <w:r>
              <w:rPr>
                <w:rFonts w:hint="eastAsia" w:ascii="宋体" w:hAnsi="宋体" w:eastAsia="宋体" w:cs="宋体"/>
                <w:sz w:val="28"/>
                <w:szCs w:val="28"/>
              </w:rPr>
              <w:t>省地质矿产开发局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10" w:hRule="atLeast"/>
          <w:tblCellSpacing w:w="0" w:type="dxa"/>
          <w:jc w:val="center"/>
        </w:trPr>
        <w:tc>
          <w:tcPr>
            <w:tcW w:w="660" w:type="dxa"/>
            <w:tcBorders>
              <w:top w:val="nil"/>
              <w:left w:val="single" w:color="auto" w:sz="6" w:space="0"/>
              <w:bottom w:val="single" w:color="auto" w:sz="6" w:space="0"/>
              <w:right w:val="single" w:color="auto" w:sz="6" w:space="0"/>
            </w:tcBorders>
            <w:shd w:val="clear" w:color="auto" w:fill="FFFFFF"/>
            <w:tcMar>
              <w:left w:w="105" w:type="dxa"/>
              <w:right w:w="105" w:type="dxa"/>
            </w:tcMar>
            <w:vAlign w:val="top"/>
          </w:tcPr>
          <w:p>
            <w:pPr>
              <w:rPr>
                <w:rFonts w:hint="eastAsia" w:ascii="宋体" w:hAnsi="宋体" w:eastAsia="宋体" w:cs="宋体"/>
                <w:sz w:val="28"/>
                <w:szCs w:val="28"/>
              </w:rPr>
            </w:pPr>
            <w:r>
              <w:rPr>
                <w:rFonts w:hint="eastAsia" w:ascii="宋体" w:hAnsi="宋体" w:eastAsia="宋体" w:cs="宋体"/>
                <w:sz w:val="28"/>
                <w:szCs w:val="28"/>
              </w:rPr>
              <w:t>11</w:t>
            </w:r>
          </w:p>
        </w:tc>
        <w:tc>
          <w:tcPr>
            <w:tcW w:w="2925" w:type="dxa"/>
            <w:tcBorders>
              <w:top w:val="nil"/>
              <w:left w:val="nil"/>
              <w:bottom w:val="single" w:color="auto" w:sz="6" w:space="0"/>
              <w:right w:val="single" w:color="auto" w:sz="6" w:space="0"/>
            </w:tcBorders>
            <w:shd w:val="clear" w:color="auto" w:fill="FFFFFF"/>
            <w:tcMar>
              <w:left w:w="105" w:type="dxa"/>
              <w:right w:w="105" w:type="dxa"/>
            </w:tcMar>
            <w:vAlign w:val="top"/>
          </w:tcPr>
          <w:p>
            <w:pPr>
              <w:rPr>
                <w:rFonts w:hint="eastAsia" w:ascii="宋体" w:hAnsi="宋体" w:eastAsia="宋体" w:cs="宋体"/>
                <w:sz w:val="28"/>
                <w:szCs w:val="28"/>
              </w:rPr>
            </w:pPr>
            <w:r>
              <w:rPr>
                <w:rFonts w:hint="eastAsia" w:ascii="宋体" w:hAnsi="宋体" w:eastAsia="宋体" w:cs="宋体"/>
                <w:sz w:val="28"/>
                <w:szCs w:val="28"/>
              </w:rPr>
              <w:t>通信工程</w:t>
            </w:r>
          </w:p>
        </w:tc>
        <w:tc>
          <w:tcPr>
            <w:tcW w:w="5085" w:type="dxa"/>
            <w:tcBorders>
              <w:top w:val="nil"/>
              <w:left w:val="nil"/>
              <w:bottom w:val="single" w:color="auto" w:sz="6" w:space="0"/>
              <w:right w:val="single" w:color="auto" w:sz="6" w:space="0"/>
            </w:tcBorders>
            <w:shd w:val="clear" w:color="auto" w:fill="FFFFFF"/>
            <w:tcMar>
              <w:left w:w="105" w:type="dxa"/>
              <w:right w:w="105" w:type="dxa"/>
            </w:tcMar>
            <w:vAlign w:val="top"/>
          </w:tcPr>
          <w:p>
            <w:pPr>
              <w:rPr>
                <w:rFonts w:hint="eastAsia" w:ascii="宋体" w:hAnsi="宋体" w:eastAsia="宋体" w:cs="宋体"/>
                <w:sz w:val="28"/>
                <w:szCs w:val="28"/>
              </w:rPr>
            </w:pPr>
            <w:r>
              <w:rPr>
                <w:rFonts w:hint="eastAsia" w:ascii="宋体" w:hAnsi="宋体" w:eastAsia="宋体" w:cs="宋体"/>
                <w:sz w:val="28"/>
                <w:szCs w:val="28"/>
              </w:rPr>
              <w:t>省通信管理局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10" w:hRule="atLeast"/>
          <w:tblCellSpacing w:w="0" w:type="dxa"/>
          <w:jc w:val="center"/>
        </w:trPr>
        <w:tc>
          <w:tcPr>
            <w:tcW w:w="660" w:type="dxa"/>
            <w:tcBorders>
              <w:top w:val="nil"/>
              <w:left w:val="single" w:color="auto" w:sz="6" w:space="0"/>
              <w:bottom w:val="single" w:color="auto" w:sz="6" w:space="0"/>
              <w:right w:val="single" w:color="auto" w:sz="6" w:space="0"/>
            </w:tcBorders>
            <w:shd w:val="clear" w:color="auto" w:fill="FFFFFF"/>
            <w:tcMar>
              <w:left w:w="105" w:type="dxa"/>
              <w:right w:w="105" w:type="dxa"/>
            </w:tcMar>
            <w:vAlign w:val="top"/>
          </w:tcPr>
          <w:p>
            <w:pPr>
              <w:rPr>
                <w:rFonts w:hint="eastAsia" w:ascii="宋体" w:hAnsi="宋体" w:eastAsia="宋体" w:cs="宋体"/>
                <w:sz w:val="28"/>
                <w:szCs w:val="28"/>
              </w:rPr>
            </w:pPr>
            <w:r>
              <w:rPr>
                <w:rFonts w:hint="eastAsia" w:ascii="宋体" w:hAnsi="宋体" w:eastAsia="宋体" w:cs="宋体"/>
                <w:sz w:val="28"/>
                <w:szCs w:val="28"/>
              </w:rPr>
              <w:t>12</w:t>
            </w:r>
          </w:p>
        </w:tc>
        <w:tc>
          <w:tcPr>
            <w:tcW w:w="2925" w:type="dxa"/>
            <w:tcBorders>
              <w:top w:val="nil"/>
              <w:left w:val="nil"/>
              <w:bottom w:val="single" w:color="auto" w:sz="6" w:space="0"/>
              <w:right w:val="single" w:color="auto" w:sz="6" w:space="0"/>
            </w:tcBorders>
            <w:shd w:val="clear" w:color="auto" w:fill="FFFFFF"/>
            <w:tcMar>
              <w:left w:w="105" w:type="dxa"/>
              <w:right w:w="105" w:type="dxa"/>
            </w:tcMar>
            <w:vAlign w:val="top"/>
          </w:tcPr>
          <w:p>
            <w:pPr>
              <w:rPr>
                <w:rFonts w:hint="eastAsia" w:ascii="宋体" w:hAnsi="宋体" w:eastAsia="宋体" w:cs="宋体"/>
                <w:sz w:val="28"/>
                <w:szCs w:val="28"/>
              </w:rPr>
            </w:pPr>
            <w:r>
              <w:rPr>
                <w:rFonts w:hint="eastAsia" w:ascii="宋体" w:hAnsi="宋体" w:eastAsia="宋体" w:cs="宋体"/>
                <w:sz w:val="28"/>
                <w:szCs w:val="28"/>
              </w:rPr>
              <w:t>大数据</w:t>
            </w:r>
          </w:p>
        </w:tc>
        <w:tc>
          <w:tcPr>
            <w:tcW w:w="5085" w:type="dxa"/>
            <w:tcBorders>
              <w:top w:val="nil"/>
              <w:left w:val="nil"/>
              <w:bottom w:val="single" w:color="auto" w:sz="6" w:space="0"/>
              <w:right w:val="single" w:color="auto" w:sz="6" w:space="0"/>
            </w:tcBorders>
            <w:shd w:val="clear" w:color="auto" w:fill="FFFFFF"/>
            <w:tcMar>
              <w:left w:w="105" w:type="dxa"/>
              <w:right w:w="105" w:type="dxa"/>
            </w:tcMar>
            <w:vAlign w:val="top"/>
          </w:tcPr>
          <w:p>
            <w:pPr>
              <w:rPr>
                <w:rFonts w:hint="eastAsia" w:ascii="宋体" w:hAnsi="宋体" w:eastAsia="宋体" w:cs="宋体"/>
                <w:sz w:val="28"/>
                <w:szCs w:val="28"/>
              </w:rPr>
            </w:pPr>
            <w:r>
              <w:rPr>
                <w:rFonts w:hint="eastAsia" w:ascii="宋体" w:hAnsi="宋体" w:eastAsia="宋体" w:cs="宋体"/>
                <w:sz w:val="28"/>
                <w:szCs w:val="28"/>
              </w:rPr>
              <w:t>省大数据管理局</w:t>
            </w:r>
          </w:p>
        </w:tc>
      </w:tr>
    </w:tbl>
    <w:p>
      <w:pPr>
        <w:rPr>
          <w:rFonts w:hint="eastAsia" w:ascii="宋体" w:hAnsi="宋体" w:eastAsia="宋体" w:cs="宋体"/>
          <w:sz w:val="28"/>
          <w:szCs w:val="28"/>
        </w:rPr>
      </w:pPr>
    </w:p>
    <w:p>
      <w:pPr>
        <w:rPr>
          <w:rFonts w:hint="eastAsia" w:ascii="宋体" w:hAnsi="宋体" w:eastAsia="宋体" w:cs="宋体"/>
          <w:sz w:val="28"/>
          <w:szCs w:val="28"/>
        </w:rPr>
      </w:pPr>
      <w:r>
        <w:rPr>
          <w:rFonts w:hint="eastAsia" w:ascii="宋体" w:hAnsi="宋体" w:eastAsia="宋体" w:cs="宋体"/>
          <w:sz w:val="28"/>
          <w:szCs w:val="28"/>
        </w:rPr>
        <w:t>注：上述专业的申报工作通知由各省级行业主管部门负责发布，请申报人员注意关注各省级行业主管部门网站</w:t>
      </w:r>
    </w:p>
    <w:p>
      <w:pPr>
        <w:rPr>
          <w:rFonts w:hint="eastAsia" w:ascii="宋体" w:hAnsi="宋体" w:eastAsia="宋体" w:cs="宋体"/>
          <w:sz w:val="28"/>
          <w:szCs w:val="28"/>
        </w:rPr>
      </w:pPr>
    </w:p>
    <w:p>
      <w:pPr>
        <w:rPr>
          <w:rFonts w:hint="eastAsia" w:ascii="宋体" w:hAnsi="宋体" w:eastAsia="宋体" w:cs="宋体"/>
          <w:sz w:val="28"/>
          <w:szCs w:val="28"/>
        </w:rPr>
      </w:pPr>
    </w:p>
    <w:p>
      <w:pPr>
        <w:rPr>
          <w:rFonts w:hint="eastAsia" w:ascii="宋体" w:hAnsi="宋体" w:eastAsia="宋体" w:cs="宋体"/>
          <w:sz w:val="28"/>
          <w:szCs w:val="28"/>
        </w:rPr>
      </w:pPr>
    </w:p>
    <w:p>
      <w:pPr>
        <w:rPr>
          <w:rFonts w:hint="eastAsia" w:ascii="宋体" w:hAnsi="宋体" w:eastAsia="宋体" w:cs="宋体"/>
          <w:sz w:val="28"/>
          <w:szCs w:val="28"/>
        </w:rPr>
      </w:pPr>
    </w:p>
    <w:p>
      <w:pPr>
        <w:rPr>
          <w:rFonts w:hint="eastAsia" w:ascii="宋体" w:hAnsi="宋体" w:eastAsia="宋体" w:cs="宋体"/>
          <w:sz w:val="28"/>
          <w:szCs w:val="28"/>
        </w:rPr>
      </w:pPr>
      <w:r>
        <w:rPr>
          <w:rFonts w:hint="eastAsia" w:ascii="宋体" w:hAnsi="宋体" w:eastAsia="宋体" w:cs="宋体"/>
          <w:sz w:val="28"/>
          <w:szCs w:val="28"/>
        </w:rPr>
        <w:t>附件3</w:t>
      </w:r>
    </w:p>
    <w:p>
      <w:pPr>
        <w:jc w:val="center"/>
        <w:rPr>
          <w:rFonts w:hint="eastAsia" w:ascii="宋体" w:hAnsi="宋体" w:eastAsia="宋体" w:cs="宋体"/>
          <w:b/>
          <w:bCs/>
          <w:sz w:val="28"/>
          <w:szCs w:val="28"/>
        </w:rPr>
      </w:pPr>
      <w:r>
        <w:rPr>
          <w:rFonts w:hint="eastAsia" w:ascii="宋体" w:hAnsi="宋体" w:eastAsia="宋体" w:cs="宋体"/>
          <w:b/>
          <w:bCs/>
          <w:sz w:val="28"/>
          <w:szCs w:val="28"/>
        </w:rPr>
        <w:t>申报材料清单及装订有关要求</w:t>
      </w:r>
    </w:p>
    <w:p>
      <w:pPr>
        <w:ind w:firstLine="560" w:firstLineChars="200"/>
        <w:rPr>
          <w:rFonts w:hint="eastAsia" w:ascii="宋体" w:hAnsi="宋体" w:eastAsia="宋体" w:cs="宋体"/>
          <w:sz w:val="28"/>
          <w:szCs w:val="28"/>
        </w:rPr>
      </w:pPr>
      <w:r>
        <w:rPr>
          <w:rFonts w:hint="eastAsia" w:ascii="宋体" w:hAnsi="宋体" w:eastAsia="宋体" w:cs="宋体"/>
          <w:sz w:val="28"/>
          <w:szCs w:val="28"/>
        </w:rPr>
        <w:t>一、申报材料清单</w:t>
      </w:r>
    </w:p>
    <w:p>
      <w:pPr>
        <w:ind w:firstLine="560" w:firstLineChars="200"/>
        <w:rPr>
          <w:rFonts w:hint="eastAsia" w:ascii="宋体" w:hAnsi="宋体" w:eastAsia="宋体" w:cs="宋体"/>
          <w:sz w:val="28"/>
          <w:szCs w:val="28"/>
        </w:rPr>
      </w:pPr>
      <w:r>
        <w:rPr>
          <w:rFonts w:hint="eastAsia" w:ascii="宋体" w:hAnsi="宋体" w:eastAsia="宋体" w:cs="宋体"/>
          <w:sz w:val="28"/>
          <w:szCs w:val="28"/>
        </w:rPr>
        <w:t>（一）散装材料</w:t>
      </w:r>
    </w:p>
    <w:p>
      <w:pPr>
        <w:ind w:firstLine="560" w:firstLineChars="200"/>
        <w:rPr>
          <w:rFonts w:hint="eastAsia" w:ascii="宋体" w:hAnsi="宋体" w:eastAsia="宋体" w:cs="宋体"/>
          <w:sz w:val="28"/>
          <w:szCs w:val="28"/>
        </w:rPr>
      </w:pPr>
      <w:r>
        <w:rPr>
          <w:rFonts w:hint="eastAsia" w:ascii="宋体" w:hAnsi="宋体" w:eastAsia="宋体" w:cs="宋体"/>
          <w:sz w:val="28"/>
          <w:szCs w:val="28"/>
        </w:rPr>
        <w:t>1.各市（州）人力资源社会保障部门或行业主管部门委托评审函、申报人员名单各1份；所在单位公示材料和公示结果说明各1份。</w:t>
      </w:r>
    </w:p>
    <w:p>
      <w:pPr>
        <w:ind w:firstLine="560" w:firstLineChars="200"/>
        <w:rPr>
          <w:rFonts w:hint="eastAsia" w:ascii="宋体" w:hAnsi="宋体" w:eastAsia="宋体" w:cs="宋体"/>
          <w:sz w:val="28"/>
          <w:szCs w:val="28"/>
        </w:rPr>
      </w:pPr>
      <w:r>
        <w:rPr>
          <w:rFonts w:hint="eastAsia" w:ascii="宋体" w:hAnsi="宋体" w:eastAsia="宋体" w:cs="宋体"/>
          <w:sz w:val="28"/>
          <w:szCs w:val="28"/>
        </w:rPr>
        <w:t>2.“个人诚信承诺书”、“单位诚信承诺书”。</w:t>
      </w:r>
    </w:p>
    <w:p>
      <w:pPr>
        <w:ind w:firstLine="560" w:firstLineChars="200"/>
        <w:rPr>
          <w:rFonts w:hint="eastAsia" w:ascii="宋体" w:hAnsi="宋体" w:eastAsia="宋体" w:cs="宋体"/>
          <w:sz w:val="28"/>
          <w:szCs w:val="28"/>
        </w:rPr>
      </w:pPr>
      <w:r>
        <w:rPr>
          <w:rFonts w:hint="eastAsia" w:ascii="宋体" w:hAnsi="宋体" w:eastAsia="宋体" w:cs="宋体"/>
          <w:sz w:val="28"/>
          <w:szCs w:val="28"/>
        </w:rPr>
        <w:t>3.《专业技术职务任职资格评审表》一式三份（双面印刷，胶装）。</w:t>
      </w:r>
    </w:p>
    <w:p>
      <w:pPr>
        <w:ind w:firstLine="560" w:firstLineChars="200"/>
        <w:rPr>
          <w:rFonts w:hint="eastAsia" w:ascii="宋体" w:hAnsi="宋体" w:eastAsia="宋体" w:cs="宋体"/>
          <w:sz w:val="28"/>
          <w:szCs w:val="28"/>
        </w:rPr>
      </w:pPr>
      <w:r>
        <w:rPr>
          <w:rFonts w:hint="eastAsia" w:ascii="宋体" w:hAnsi="宋体" w:eastAsia="宋体" w:cs="宋体"/>
          <w:sz w:val="28"/>
          <w:szCs w:val="28"/>
        </w:rPr>
        <w:t>4.《贵州省申报评审专业技术职务任职资格审查表》2份，A3纸张打印。</w:t>
      </w:r>
    </w:p>
    <w:p>
      <w:pPr>
        <w:ind w:firstLine="560" w:firstLineChars="200"/>
        <w:rPr>
          <w:rFonts w:hint="eastAsia" w:ascii="宋体" w:hAnsi="宋体" w:eastAsia="宋体" w:cs="宋体"/>
          <w:sz w:val="28"/>
          <w:szCs w:val="28"/>
        </w:rPr>
      </w:pPr>
      <w:r>
        <w:rPr>
          <w:rFonts w:hint="eastAsia" w:ascii="宋体" w:hAnsi="宋体" w:eastAsia="宋体" w:cs="宋体"/>
          <w:sz w:val="28"/>
          <w:szCs w:val="28"/>
        </w:rPr>
        <w:t>5.公开发表、出版的论文期刊和论著原件。</w:t>
      </w:r>
    </w:p>
    <w:p>
      <w:pPr>
        <w:ind w:firstLine="560" w:firstLineChars="200"/>
        <w:rPr>
          <w:rFonts w:hint="eastAsia" w:ascii="宋体" w:hAnsi="宋体" w:eastAsia="宋体" w:cs="宋体"/>
          <w:sz w:val="28"/>
          <w:szCs w:val="28"/>
        </w:rPr>
      </w:pPr>
      <w:r>
        <w:rPr>
          <w:rFonts w:hint="eastAsia" w:ascii="宋体" w:hAnsi="宋体" w:eastAsia="宋体" w:cs="宋体"/>
          <w:sz w:val="28"/>
          <w:szCs w:val="28"/>
        </w:rPr>
        <w:t>（二）装订材料（按下列顺序用A4装订）</w:t>
      </w:r>
    </w:p>
    <w:p>
      <w:pPr>
        <w:ind w:firstLine="560" w:firstLineChars="200"/>
        <w:rPr>
          <w:rFonts w:hint="eastAsia" w:ascii="宋体" w:hAnsi="宋体" w:eastAsia="宋体" w:cs="宋体"/>
          <w:sz w:val="28"/>
          <w:szCs w:val="28"/>
        </w:rPr>
      </w:pPr>
      <w:r>
        <w:rPr>
          <w:rFonts w:hint="eastAsia" w:ascii="宋体" w:hAnsi="宋体" w:eastAsia="宋体" w:cs="宋体"/>
          <w:sz w:val="28"/>
          <w:szCs w:val="28"/>
        </w:rPr>
        <w:t>1.申报材料目录</w:t>
      </w:r>
    </w:p>
    <w:p>
      <w:pPr>
        <w:ind w:firstLine="560" w:firstLineChars="200"/>
        <w:rPr>
          <w:rFonts w:hint="eastAsia" w:ascii="宋体" w:hAnsi="宋体" w:eastAsia="宋体" w:cs="宋体"/>
          <w:sz w:val="28"/>
          <w:szCs w:val="28"/>
        </w:rPr>
      </w:pPr>
      <w:r>
        <w:rPr>
          <w:rFonts w:hint="eastAsia" w:ascii="宋体" w:hAnsi="宋体" w:eastAsia="宋体" w:cs="宋体"/>
          <w:sz w:val="28"/>
          <w:szCs w:val="28"/>
        </w:rPr>
        <w:t>2.《贵州省专业技术人员继续教育登记证》</w:t>
      </w:r>
    </w:p>
    <w:p>
      <w:pPr>
        <w:ind w:firstLine="560" w:firstLineChars="200"/>
        <w:rPr>
          <w:rFonts w:hint="eastAsia" w:ascii="宋体" w:hAnsi="宋体" w:eastAsia="宋体" w:cs="宋体"/>
          <w:sz w:val="28"/>
          <w:szCs w:val="28"/>
        </w:rPr>
      </w:pPr>
      <w:r>
        <w:rPr>
          <w:rFonts w:hint="eastAsia" w:ascii="宋体" w:hAnsi="宋体" w:eastAsia="宋体" w:cs="宋体"/>
          <w:sz w:val="28"/>
          <w:szCs w:val="28"/>
        </w:rPr>
        <w:t>3.现任专业技术职务任职资格证书（复印件）</w:t>
      </w:r>
    </w:p>
    <w:p>
      <w:pPr>
        <w:ind w:firstLine="560" w:firstLineChars="200"/>
        <w:rPr>
          <w:rFonts w:hint="eastAsia" w:ascii="宋体" w:hAnsi="宋体" w:eastAsia="宋体" w:cs="宋体"/>
          <w:sz w:val="28"/>
          <w:szCs w:val="28"/>
        </w:rPr>
      </w:pPr>
      <w:r>
        <w:rPr>
          <w:rFonts w:hint="eastAsia" w:ascii="宋体" w:hAnsi="宋体" w:eastAsia="宋体" w:cs="宋体"/>
          <w:sz w:val="28"/>
          <w:szCs w:val="28"/>
        </w:rPr>
        <w:t>4.任现职以来岗位聘任证书（含续聘页）</w:t>
      </w:r>
    </w:p>
    <w:p>
      <w:pPr>
        <w:ind w:firstLine="560" w:firstLineChars="200"/>
        <w:rPr>
          <w:rFonts w:hint="eastAsia" w:ascii="宋体" w:hAnsi="宋体" w:eastAsia="宋体" w:cs="宋体"/>
          <w:sz w:val="28"/>
          <w:szCs w:val="28"/>
        </w:rPr>
      </w:pPr>
      <w:r>
        <w:rPr>
          <w:rFonts w:hint="eastAsia" w:ascii="宋体" w:hAnsi="宋体" w:eastAsia="宋体" w:cs="宋体"/>
          <w:sz w:val="28"/>
          <w:szCs w:val="28"/>
        </w:rPr>
        <w:t>5.任现职期间取得的各类获奖证书（复印件）</w:t>
      </w:r>
    </w:p>
    <w:p>
      <w:pPr>
        <w:ind w:firstLine="560" w:firstLineChars="200"/>
        <w:rPr>
          <w:rFonts w:hint="eastAsia" w:ascii="宋体" w:hAnsi="宋体" w:eastAsia="宋体" w:cs="宋体"/>
          <w:sz w:val="28"/>
          <w:szCs w:val="28"/>
        </w:rPr>
      </w:pPr>
      <w:r>
        <w:rPr>
          <w:rFonts w:hint="eastAsia" w:ascii="宋体" w:hAnsi="宋体" w:eastAsia="宋体" w:cs="宋体"/>
          <w:sz w:val="28"/>
          <w:szCs w:val="28"/>
        </w:rPr>
        <w:t>6.学术技术水平业绩佐证材料</w:t>
      </w:r>
    </w:p>
    <w:p>
      <w:pPr>
        <w:ind w:firstLine="560" w:firstLineChars="200"/>
        <w:rPr>
          <w:rFonts w:hint="eastAsia" w:ascii="宋体" w:hAnsi="宋体" w:eastAsia="宋体" w:cs="宋体"/>
          <w:sz w:val="28"/>
          <w:szCs w:val="28"/>
        </w:rPr>
      </w:pPr>
      <w:r>
        <w:rPr>
          <w:rFonts w:hint="eastAsia" w:ascii="宋体" w:hAnsi="宋体" w:eastAsia="宋体" w:cs="宋体"/>
          <w:sz w:val="28"/>
          <w:szCs w:val="28"/>
        </w:rPr>
        <w:t>二、申报材料收集、整理要求</w:t>
      </w:r>
    </w:p>
    <w:p>
      <w:pPr>
        <w:ind w:firstLine="560" w:firstLineChars="200"/>
        <w:rPr>
          <w:rFonts w:hint="eastAsia" w:ascii="宋体" w:hAnsi="宋体" w:eastAsia="宋体" w:cs="宋体"/>
          <w:sz w:val="28"/>
          <w:szCs w:val="28"/>
        </w:rPr>
      </w:pPr>
      <w:r>
        <w:rPr>
          <w:rFonts w:hint="eastAsia" w:ascii="宋体" w:hAnsi="宋体" w:eastAsia="宋体" w:cs="宋体"/>
          <w:sz w:val="28"/>
          <w:szCs w:val="28"/>
        </w:rPr>
        <w:t>1.提交的复印材料均需用人单位人事部门审查后，连同复印材料原件送当地人社部门或主管部门审核，并盖章确认。</w:t>
      </w:r>
    </w:p>
    <w:p>
      <w:pPr>
        <w:ind w:firstLine="560" w:firstLineChars="200"/>
        <w:rPr>
          <w:rFonts w:hint="eastAsia" w:ascii="宋体" w:hAnsi="宋体" w:eastAsia="宋体" w:cs="宋体"/>
          <w:sz w:val="28"/>
          <w:szCs w:val="28"/>
        </w:rPr>
      </w:pPr>
      <w:r>
        <w:rPr>
          <w:rFonts w:hint="eastAsia" w:ascii="宋体" w:hAnsi="宋体" w:eastAsia="宋体" w:cs="宋体"/>
          <w:sz w:val="28"/>
          <w:szCs w:val="28"/>
        </w:rPr>
        <w:t>2.提交的论文须在所发表的期刊目录上划“        ”标明。</w:t>
      </w:r>
    </w:p>
    <w:p>
      <w:pPr>
        <w:ind w:firstLine="560" w:firstLineChars="200"/>
        <w:rPr>
          <w:rFonts w:hint="eastAsia" w:ascii="宋体" w:hAnsi="宋体" w:eastAsia="宋体" w:cs="宋体"/>
          <w:sz w:val="28"/>
          <w:szCs w:val="28"/>
        </w:rPr>
      </w:pPr>
      <w:r>
        <w:rPr>
          <w:rFonts w:hint="eastAsia" w:ascii="宋体" w:hAnsi="宋体" w:eastAsia="宋体" w:cs="宋体"/>
          <w:sz w:val="28"/>
          <w:szCs w:val="28"/>
        </w:rPr>
        <w:t>3.单位统一报送申报人员材料的，可统一出具1份《单位报送专业技术职务任职资格诚信承诺书》。</w:t>
      </w:r>
    </w:p>
    <w:p>
      <w:pPr>
        <w:ind w:firstLine="560" w:firstLineChars="200"/>
        <w:rPr>
          <w:rFonts w:hint="eastAsia" w:ascii="宋体" w:hAnsi="宋体" w:eastAsia="宋体" w:cs="宋体"/>
          <w:sz w:val="28"/>
          <w:szCs w:val="28"/>
        </w:rPr>
      </w:pPr>
      <w:r>
        <w:rPr>
          <w:rFonts w:hint="eastAsia" w:ascii="宋体" w:hAnsi="宋体" w:eastAsia="宋体" w:cs="宋体"/>
          <w:sz w:val="28"/>
          <w:szCs w:val="28"/>
        </w:rPr>
        <w:t>4.申报正高级专业技术资格的人员送评的代表论文在隐去作者姓名及单位等有关信息后形成word格式电子版（电子文件名统一为姓名+申报专业+论文标题），使用U盘拷贝，由单位在报送材料时统一提交。</w:t>
      </w:r>
    </w:p>
    <w:p>
      <w:pPr>
        <w:ind w:firstLine="560" w:firstLineChars="200"/>
        <w:rPr>
          <w:rFonts w:hint="eastAsia" w:ascii="宋体" w:hAnsi="宋体" w:eastAsia="宋体" w:cs="宋体"/>
          <w:sz w:val="28"/>
          <w:szCs w:val="28"/>
        </w:rPr>
      </w:pPr>
      <w:bookmarkStart w:id="0" w:name="_GoBack"/>
      <w:bookmarkEnd w:id="0"/>
      <w:r>
        <w:rPr>
          <w:rFonts w:hint="eastAsia" w:ascii="宋体" w:hAnsi="宋体" w:eastAsia="宋体" w:cs="宋体"/>
          <w:sz w:val="28"/>
          <w:szCs w:val="28"/>
        </w:rPr>
        <w:t>5.申报材料统一使用带封扣的牛皮纸质档案袋（竖向开口）包装。档案袋封面须注明申报人姓名、单位、拟申报专业及资格和联系电话；档案袋底部和侧面加贴标签，注明申报人姓名、单位、拟申报专业及资格；有多份申报材料的，应在封面右上角注明“共X袋，第X袋”字样。</w:t>
      </w:r>
    </w:p>
    <w:p>
      <w:pPr>
        <w:rPr>
          <w:rFonts w:hint="eastAsia" w:ascii="宋体" w:hAnsi="宋体" w:eastAsia="宋体" w:cs="宋体"/>
          <w:sz w:val="28"/>
          <w:szCs w:val="28"/>
        </w:rPr>
      </w:pPr>
    </w:p>
    <w:sectPr>
      <w:pgSz w:w="11906" w:h="16838"/>
      <w:pgMar w:top="1440" w:right="1080" w:bottom="1440" w:left="108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5032777"/>
    <w:rsid w:val="05032777"/>
    <w:rsid w:val="166C4E7D"/>
    <w:rsid w:val="34EA537A"/>
    <w:rsid w:val="3CF32FD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bidi="ar"/>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qFormat/>
    <w:uiPriority w:val="0"/>
    <w:pPr>
      <w:spacing w:before="0" w:beforeAutospacing="1" w:after="0" w:afterAutospacing="1"/>
      <w:ind w:left="0" w:right="0"/>
      <w:jc w:val="left"/>
    </w:pPr>
    <w:rPr>
      <w:kern w:val="0"/>
      <w:sz w:val="24"/>
      <w:lang w:val="en-US" w:eastAsia="zh-CN" w:bidi="ar"/>
    </w:rPr>
  </w:style>
  <w:style w:type="character" w:styleId="6">
    <w:name w:val="Strong"/>
    <w:basedOn w:val="5"/>
    <w:qFormat/>
    <w:uiPriority w:val="0"/>
    <w:rPr>
      <w:b/>
    </w:rPr>
  </w:style>
  <w:style w:type="character" w:styleId="7">
    <w:name w:val="Hyperlink"/>
    <w:basedOn w:val="5"/>
    <w:qFormat/>
    <w:uiPriority w:val="0"/>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8</TotalTime>
  <ScaleCrop>false</ScaleCrop>
  <LinksUpToDate>false</LinksUpToDate>
  <CharactersWithSpaces>0</CharactersWithSpaces>
  <Application>WPS Office_11.1.0.9145_F1E327BC-269C-435d-A152-05C5408002CA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2019-11-05T00:38:00Z</dcterms:created>
  <dc:creator>笛韵清远</dc:creator>
  <cp:lastModifiedBy>笛韵清远</cp:lastModifiedBy>
  <dcterms:modified xsi:type="dcterms:W3CDTF">2019-11-05T02:49:36Z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2052-11.1.0.9145</vt:lpwstr>
  </property>
</Properties>
</file>